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98" w:rsidRDefault="00DB1498" w:rsidP="00DB1498">
      <w:pPr>
        <w:autoSpaceDE w:val="0"/>
        <w:autoSpaceDN w:val="0"/>
        <w:adjustRightInd w:val="0"/>
        <w:spacing w:after="0" w:line="240" w:lineRule="auto"/>
        <w:rPr>
          <w:rFonts w:ascii="DHPNGK+Arial,BoldItalic" w:hAnsi="DHPNGK+Arial,BoldItalic" w:cs="DHPNGK+Arial,BoldItalic"/>
          <w:b/>
          <w:bCs/>
          <w:color w:val="000000"/>
          <w:sz w:val="23"/>
          <w:szCs w:val="23"/>
          <w:lang w:eastAsia="de-DE"/>
        </w:rPr>
      </w:pPr>
    </w:p>
    <w:p w:rsidR="00A8199A" w:rsidRDefault="00DB1498" w:rsidP="00DB1498">
      <w:pPr>
        <w:autoSpaceDE w:val="0"/>
        <w:autoSpaceDN w:val="0"/>
        <w:adjustRightInd w:val="0"/>
        <w:spacing w:after="0" w:line="240" w:lineRule="auto"/>
        <w:rPr>
          <w:rFonts w:ascii="DHPNGK+Arial,BoldItalic" w:hAnsi="DHPNGK+Arial,BoldItalic" w:cs="DHPNGK+Arial,BoldItalic"/>
          <w:b/>
          <w:bCs/>
          <w:color w:val="000000"/>
          <w:sz w:val="28"/>
          <w:szCs w:val="28"/>
          <w:lang w:eastAsia="de-DE"/>
        </w:rPr>
      </w:pPr>
      <w:r w:rsidRPr="00F638CC">
        <w:rPr>
          <w:rFonts w:ascii="DHPNGK+Arial,BoldItalic" w:hAnsi="DHPNGK+Arial,BoldItalic" w:cs="DHPNGK+Arial,BoldItalic"/>
          <w:b/>
          <w:bCs/>
          <w:color w:val="000000"/>
          <w:sz w:val="28"/>
          <w:szCs w:val="28"/>
          <w:lang w:eastAsia="de-DE"/>
        </w:rPr>
        <w:t>FACHOBERSCHULE</w:t>
      </w:r>
    </w:p>
    <w:p w:rsidR="00EC5DD0" w:rsidRDefault="00EC5DD0" w:rsidP="00DB1498">
      <w:pPr>
        <w:autoSpaceDE w:val="0"/>
        <w:autoSpaceDN w:val="0"/>
        <w:adjustRightInd w:val="0"/>
        <w:spacing w:after="0" w:line="240" w:lineRule="auto"/>
        <w:rPr>
          <w:rFonts w:ascii="DHPNGK+Arial,BoldItalic" w:hAnsi="DHPNGK+Arial,BoldItalic" w:cs="DHPNGK+Arial,BoldItalic"/>
          <w:b/>
          <w:bCs/>
          <w:color w:val="000000"/>
          <w:sz w:val="28"/>
          <w:szCs w:val="28"/>
          <w:lang w:eastAsia="de-DE"/>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79"/>
        <w:gridCol w:w="4961"/>
      </w:tblGrid>
      <w:tr w:rsidR="00A718D8" w:rsidRPr="00646AAA" w:rsidTr="00E95E81">
        <w:tc>
          <w:tcPr>
            <w:tcW w:w="4679" w:type="dxa"/>
            <w:shd w:val="clear" w:color="auto" w:fill="auto"/>
          </w:tcPr>
          <w:p w:rsidR="00523A4D" w:rsidRPr="00646AAA" w:rsidRDefault="00E95E81" w:rsidP="00646AAA">
            <w:pPr>
              <w:autoSpaceDE w:val="0"/>
              <w:autoSpaceDN w:val="0"/>
              <w:adjustRightInd w:val="0"/>
              <w:spacing w:after="0" w:line="240" w:lineRule="auto"/>
              <w:rPr>
                <w:rFonts w:ascii="DHPNGK+Arial,BoldItalic" w:hAnsi="DHPNGK+Arial,BoldItalic" w:cs="DHPNGK+Arial,BoldItalic"/>
                <w:b/>
                <w:bCs/>
                <w:color w:val="000000"/>
                <w:sz w:val="28"/>
                <w:szCs w:val="28"/>
                <w:lang w:eastAsia="de-DE"/>
              </w:rPr>
            </w:pPr>
            <w:r w:rsidRPr="00E95E81">
              <w:rPr>
                <w:rFonts w:ascii="DHPNGK+Arial,BoldItalic" w:hAnsi="DHPNGK+Arial,BoldItalic" w:cs="DHPNGK+Arial,BoldItalic"/>
                <w:b/>
                <w:bCs/>
                <w:color w:val="000000"/>
                <w:sz w:val="28"/>
                <w:szCs w:val="28"/>
                <w:lang w:eastAsia="de-DE"/>
              </w:rPr>
              <w:drawing>
                <wp:inline distT="0" distB="0" distL="0" distR="0">
                  <wp:extent cx="3038475" cy="1628775"/>
                  <wp:effectExtent l="19050" t="0" r="9525" b="0"/>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961" w:type="dxa"/>
            <w:shd w:val="clear" w:color="auto" w:fill="auto"/>
          </w:tcPr>
          <w:p w:rsidR="00EC5DD0" w:rsidRPr="00646AAA" w:rsidRDefault="00E55CB2" w:rsidP="00E95E81">
            <w:pPr>
              <w:autoSpaceDE w:val="0"/>
              <w:autoSpaceDN w:val="0"/>
              <w:adjustRightInd w:val="0"/>
              <w:spacing w:after="0" w:line="240" w:lineRule="auto"/>
              <w:jc w:val="center"/>
              <w:rPr>
                <w:rFonts w:ascii="DHPNGK+Arial,BoldItalic" w:hAnsi="DHPNGK+Arial,BoldItalic" w:cs="DHPNGK+Arial,BoldItalic"/>
                <w:b/>
                <w:bCs/>
                <w:color w:val="000000"/>
                <w:sz w:val="28"/>
                <w:szCs w:val="28"/>
                <w:lang w:eastAsia="de-DE"/>
              </w:rPr>
            </w:pPr>
            <w:r w:rsidRPr="00E95E81">
              <w:rPr>
                <w:rFonts w:ascii="DHPNGK+Arial,BoldItalic" w:hAnsi="DHPNGK+Arial,BoldItalic" w:cs="DHPNGK+Arial,BoldItalic"/>
                <w:b/>
                <w:bCs/>
                <w:color w:val="000000"/>
                <w:sz w:val="28"/>
                <w:szCs w:val="28"/>
                <w:lang w:eastAsia="de-DE"/>
              </w:rPr>
              <w:drawing>
                <wp:inline distT="0" distB="0" distL="0" distR="0">
                  <wp:extent cx="2971800" cy="2181225"/>
                  <wp:effectExtent l="19050" t="0" r="19050" b="0"/>
                  <wp:docPr id="39"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23A4D" w:rsidRPr="00646AAA" w:rsidTr="00E95E81">
        <w:tc>
          <w:tcPr>
            <w:tcW w:w="4679" w:type="dxa"/>
            <w:shd w:val="clear" w:color="auto" w:fill="auto"/>
          </w:tcPr>
          <w:p w:rsidR="00EC5DD0" w:rsidRPr="00646AAA" w:rsidRDefault="00E95E81" w:rsidP="00646AAA">
            <w:pPr>
              <w:autoSpaceDE w:val="0"/>
              <w:autoSpaceDN w:val="0"/>
              <w:adjustRightInd w:val="0"/>
              <w:spacing w:after="0" w:line="240" w:lineRule="auto"/>
              <w:rPr>
                <w:rFonts w:ascii="DHPNGK+Arial,BoldItalic" w:hAnsi="DHPNGK+Arial,BoldItalic" w:cs="DHPNGK+Arial,BoldItalic"/>
                <w:b/>
                <w:bCs/>
                <w:color w:val="000000"/>
                <w:sz w:val="28"/>
                <w:szCs w:val="28"/>
                <w:lang w:eastAsia="de-DE"/>
              </w:rPr>
            </w:pPr>
            <w:r w:rsidRPr="00E95E81">
              <w:rPr>
                <w:rFonts w:ascii="DHPNGK+Arial,BoldItalic" w:hAnsi="DHPNGK+Arial,BoldItalic" w:cs="DHPNGK+Arial,BoldItalic"/>
                <w:b/>
                <w:bCs/>
                <w:color w:val="000000"/>
                <w:sz w:val="28"/>
                <w:szCs w:val="28"/>
                <w:lang w:eastAsia="de-DE"/>
              </w:rPr>
              <w:drawing>
                <wp:inline distT="0" distB="0" distL="0" distR="0">
                  <wp:extent cx="2819400" cy="1857375"/>
                  <wp:effectExtent l="19050" t="0" r="19050" b="0"/>
                  <wp:docPr id="24"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61" w:type="dxa"/>
            <w:shd w:val="clear" w:color="auto" w:fill="auto"/>
          </w:tcPr>
          <w:p w:rsidR="00523A4D" w:rsidRPr="00646AAA" w:rsidRDefault="00E55CB2" w:rsidP="00646AAA">
            <w:pPr>
              <w:autoSpaceDE w:val="0"/>
              <w:autoSpaceDN w:val="0"/>
              <w:adjustRightInd w:val="0"/>
              <w:spacing w:after="0" w:line="240" w:lineRule="auto"/>
              <w:rPr>
                <w:rFonts w:ascii="DHPNGK+Arial,BoldItalic" w:hAnsi="DHPNGK+Arial,BoldItalic" w:cs="DHPNGK+Arial,BoldItalic"/>
                <w:b/>
                <w:bCs/>
                <w:color w:val="000000"/>
                <w:sz w:val="28"/>
                <w:szCs w:val="28"/>
                <w:lang w:eastAsia="de-DE"/>
              </w:rPr>
            </w:pPr>
            <w:r w:rsidRPr="00E95E81">
              <w:rPr>
                <w:rFonts w:ascii="DHPNGK+Arial,BoldItalic" w:hAnsi="DHPNGK+Arial,BoldItalic" w:cs="DHPNGK+Arial,BoldItalic"/>
                <w:b/>
                <w:bCs/>
                <w:color w:val="000000"/>
                <w:sz w:val="28"/>
                <w:szCs w:val="28"/>
                <w:lang w:eastAsia="de-DE"/>
              </w:rPr>
              <w:drawing>
                <wp:inline distT="0" distB="0" distL="0" distR="0">
                  <wp:extent cx="3000375" cy="1676400"/>
                  <wp:effectExtent l="19050" t="0" r="9525" b="0"/>
                  <wp:docPr id="38"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23A4D" w:rsidRPr="00646AAA" w:rsidTr="00E95E81">
        <w:tc>
          <w:tcPr>
            <w:tcW w:w="4679" w:type="dxa"/>
            <w:shd w:val="clear" w:color="auto" w:fill="auto"/>
          </w:tcPr>
          <w:p w:rsidR="00523A4D" w:rsidRPr="00646AAA" w:rsidRDefault="00E95E81" w:rsidP="00646AAA">
            <w:pPr>
              <w:autoSpaceDE w:val="0"/>
              <w:autoSpaceDN w:val="0"/>
              <w:adjustRightInd w:val="0"/>
              <w:spacing w:after="0" w:line="240" w:lineRule="auto"/>
              <w:rPr>
                <w:rFonts w:ascii="DHPNGK+Arial,BoldItalic" w:hAnsi="DHPNGK+Arial,BoldItalic" w:cs="DHPNGK+Arial,BoldItalic"/>
                <w:b/>
                <w:bCs/>
                <w:color w:val="000000"/>
                <w:sz w:val="28"/>
                <w:szCs w:val="28"/>
                <w:lang w:eastAsia="de-DE"/>
              </w:rPr>
            </w:pPr>
            <w:r w:rsidRPr="00E95E81">
              <w:rPr>
                <w:rFonts w:ascii="DHPNGK+Arial,BoldItalic" w:hAnsi="DHPNGK+Arial,BoldItalic" w:cs="DHPNGK+Arial,BoldItalic"/>
                <w:b/>
                <w:bCs/>
                <w:color w:val="000000"/>
                <w:sz w:val="28"/>
                <w:szCs w:val="28"/>
                <w:lang w:eastAsia="de-DE"/>
              </w:rPr>
              <w:drawing>
                <wp:inline distT="0" distB="0" distL="0" distR="0">
                  <wp:extent cx="3038475" cy="2085975"/>
                  <wp:effectExtent l="19050" t="0" r="9525" b="0"/>
                  <wp:docPr id="4"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61" w:type="dxa"/>
            <w:shd w:val="clear" w:color="auto" w:fill="auto"/>
          </w:tcPr>
          <w:p w:rsidR="00523A4D" w:rsidRPr="00523A4D" w:rsidRDefault="00E55CB2" w:rsidP="00646AAA">
            <w:pPr>
              <w:autoSpaceDE w:val="0"/>
              <w:autoSpaceDN w:val="0"/>
              <w:adjustRightInd w:val="0"/>
              <w:spacing w:after="0" w:line="240" w:lineRule="auto"/>
              <w:rPr>
                <w:rFonts w:ascii="DHPNGK+Arial,BoldItalic" w:hAnsi="DHPNGK+Arial,BoldItalic" w:cs="DHPNGK+Arial,BoldItalic"/>
                <w:bCs/>
                <w:color w:val="000000"/>
                <w:sz w:val="28"/>
                <w:szCs w:val="28"/>
                <w:lang w:eastAsia="de-DE"/>
              </w:rPr>
            </w:pPr>
            <w:r w:rsidRPr="00E95E81">
              <w:rPr>
                <w:rFonts w:ascii="DHPNGK+Arial,BoldItalic" w:hAnsi="DHPNGK+Arial,BoldItalic" w:cs="DHPNGK+Arial,BoldItalic"/>
                <w:b/>
                <w:bCs/>
                <w:color w:val="000000"/>
                <w:sz w:val="28"/>
                <w:szCs w:val="28"/>
                <w:lang w:eastAsia="de-DE"/>
              </w:rPr>
              <w:drawing>
                <wp:inline distT="0" distB="0" distL="0" distR="0">
                  <wp:extent cx="3086100" cy="1857375"/>
                  <wp:effectExtent l="19050" t="0" r="19050" b="0"/>
                  <wp:docPr id="37"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EC5DD0" w:rsidRPr="002638A6" w:rsidRDefault="00EC5DD0" w:rsidP="00DB1498">
      <w:pPr>
        <w:autoSpaceDE w:val="0"/>
        <w:autoSpaceDN w:val="0"/>
        <w:adjustRightInd w:val="0"/>
        <w:spacing w:after="0" w:line="240" w:lineRule="auto"/>
        <w:rPr>
          <w:rFonts w:ascii="DHPNGK+Arial,BoldItalic" w:hAnsi="DHPNGK+Arial,BoldItalic" w:cs="DHPNGK+Arial,BoldItalic"/>
          <w:bCs/>
          <w:color w:val="000000"/>
          <w:sz w:val="28"/>
          <w:szCs w:val="28"/>
          <w:lang w:eastAsia="de-DE"/>
        </w:rPr>
      </w:pPr>
    </w:p>
    <w:p w:rsidR="00F638CC" w:rsidRPr="002638A6" w:rsidRDefault="00F638CC" w:rsidP="00DB1498">
      <w:pPr>
        <w:autoSpaceDE w:val="0"/>
        <w:autoSpaceDN w:val="0"/>
        <w:adjustRightInd w:val="0"/>
        <w:spacing w:after="0" w:line="240" w:lineRule="auto"/>
        <w:rPr>
          <w:rFonts w:ascii="DHPNGK+Arial,BoldItalic" w:hAnsi="DHPNGK+Arial,BoldItalic" w:cs="DHPNGK+Arial,BoldItalic"/>
          <w:bCs/>
          <w:color w:val="000000"/>
          <w:sz w:val="28"/>
          <w:szCs w:val="28"/>
          <w:lang w:eastAsia="de-DE"/>
        </w:rPr>
      </w:pPr>
    </w:p>
    <w:p w:rsidR="00523A4D" w:rsidRDefault="00FC6813" w:rsidP="00DB1498">
      <w:pPr>
        <w:autoSpaceDE w:val="0"/>
        <w:autoSpaceDN w:val="0"/>
        <w:adjustRightInd w:val="0"/>
        <w:spacing w:after="0" w:line="240" w:lineRule="auto"/>
        <w:rPr>
          <w:rFonts w:ascii="DHPNGK+Arial,BoldItalic" w:hAnsi="DHPNGK+Arial,BoldItalic" w:cs="DHPNGK+Arial,BoldItalic"/>
          <w:color w:val="000000"/>
          <w:sz w:val="23"/>
          <w:szCs w:val="23"/>
          <w:lang w:eastAsia="de-DE"/>
        </w:rPr>
      </w:pPr>
      <w:r w:rsidRPr="00FC6813">
        <w:rPr>
          <w:rFonts w:ascii="DHPNGK+Arial,BoldItalic" w:hAnsi="DHPNGK+Arial,BoldItalic" w:cs="DHPNGK+Arial,BoldItalic"/>
          <w:color w:val="000000"/>
          <w:sz w:val="23"/>
          <w:szCs w:val="23"/>
          <w:lang w:eastAsia="de-DE"/>
        </w:rPr>
        <w:lastRenderedPageBreak/>
        <w:drawing>
          <wp:inline distT="0" distB="0" distL="0" distR="0">
            <wp:extent cx="5941060" cy="3033692"/>
            <wp:effectExtent l="19050" t="0" r="21590" b="0"/>
            <wp:docPr id="27"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6813" w:rsidRDefault="00FC6813" w:rsidP="00DB1498">
      <w:pPr>
        <w:autoSpaceDE w:val="0"/>
        <w:autoSpaceDN w:val="0"/>
        <w:adjustRightInd w:val="0"/>
        <w:spacing w:after="0" w:line="240" w:lineRule="auto"/>
        <w:rPr>
          <w:rFonts w:ascii="DHPNGK+Arial,BoldItalic" w:hAnsi="DHPNGK+Arial,BoldItalic" w:cs="DHPNGK+Arial,BoldItalic"/>
          <w:color w:val="000000"/>
          <w:sz w:val="23"/>
          <w:szCs w:val="23"/>
          <w:lang w:eastAsia="de-DE"/>
        </w:rPr>
      </w:pPr>
    </w:p>
    <w:p w:rsidR="00FC6813" w:rsidRDefault="00FC6813" w:rsidP="00DB1498">
      <w:pPr>
        <w:autoSpaceDE w:val="0"/>
        <w:autoSpaceDN w:val="0"/>
        <w:adjustRightInd w:val="0"/>
        <w:spacing w:after="0" w:line="240" w:lineRule="auto"/>
        <w:rPr>
          <w:rFonts w:ascii="DHPNGK+Arial,BoldItalic" w:hAnsi="DHPNGK+Arial,BoldItalic" w:cs="DHPNGK+Arial,BoldItalic"/>
          <w:color w:val="000000"/>
          <w:sz w:val="23"/>
          <w:szCs w:val="23"/>
          <w:lang w:eastAsia="de-DE"/>
        </w:rPr>
      </w:pPr>
    </w:p>
    <w:p w:rsidR="00DB1498" w:rsidRDefault="00523A4D" w:rsidP="00DB1498">
      <w:pPr>
        <w:autoSpaceDE w:val="0"/>
        <w:autoSpaceDN w:val="0"/>
        <w:adjustRightInd w:val="0"/>
        <w:spacing w:after="0" w:line="240" w:lineRule="auto"/>
        <w:rPr>
          <w:rFonts w:ascii="DHPNGK+Arial,BoldItalic" w:hAnsi="DHPNGK+Arial,BoldItalic" w:cs="DHPNGK+Arial,BoldItalic"/>
          <w:color w:val="000000"/>
          <w:sz w:val="23"/>
          <w:szCs w:val="23"/>
          <w:lang w:eastAsia="de-DE"/>
        </w:rPr>
      </w:pPr>
      <w:r>
        <w:rPr>
          <w:rFonts w:ascii="DHPNGK+Arial,BoldItalic" w:hAnsi="DHPNGK+Arial,BoldItalic" w:cs="DHPNGK+Arial,BoldItalic"/>
          <w:color w:val="000000"/>
          <w:sz w:val="23"/>
          <w:szCs w:val="23"/>
          <w:lang w:eastAsia="de-DE"/>
        </w:rPr>
        <w:br w:type="page"/>
      </w:r>
    </w:p>
    <w:p w:rsidR="007A42C7" w:rsidRPr="00FE6F3C" w:rsidRDefault="007A42C7" w:rsidP="007A42C7">
      <w:pPr>
        <w:rPr>
          <w:b/>
        </w:rPr>
      </w:pPr>
      <w:r w:rsidRPr="00FE6F3C">
        <w:rPr>
          <w:b/>
        </w:rPr>
        <w:lastRenderedPageBreak/>
        <w:t>Analyse der Ursachen unter Beachtung der Schwellenwerte und Vergleich zum Vorjahr</w:t>
      </w:r>
    </w:p>
    <w:p w:rsidR="007A42C7" w:rsidRDefault="007A42C7" w:rsidP="007A42C7">
      <w:pPr>
        <w:pStyle w:val="StandardWeb"/>
        <w:spacing w:before="120" w:beforeAutospacing="0" w:after="0" w:afterAutospacing="0"/>
        <w:ind w:left="360" w:hanging="360"/>
        <w:rPr>
          <w:rFonts w:asciiTheme="minorHAnsi" w:hAnsiTheme="minorHAnsi" w:cs="Arial"/>
          <w:b/>
          <w:color w:val="000000"/>
          <w:sz w:val="22"/>
          <w:szCs w:val="22"/>
        </w:rPr>
      </w:pPr>
    </w:p>
    <w:p w:rsidR="007A42C7" w:rsidRPr="0054749F" w:rsidRDefault="007A42C7" w:rsidP="007A42C7">
      <w:pPr>
        <w:pStyle w:val="StandardWeb"/>
        <w:spacing w:before="120" w:beforeAutospacing="0" w:after="0" w:afterAutospacing="0"/>
        <w:ind w:left="360" w:hanging="360"/>
        <w:rPr>
          <w:rFonts w:asciiTheme="minorHAnsi" w:hAnsiTheme="minorHAnsi" w:cs="Arial"/>
          <w:b/>
          <w:color w:val="FF0000"/>
          <w:sz w:val="22"/>
          <w:szCs w:val="22"/>
        </w:rPr>
      </w:pPr>
      <w:r w:rsidRPr="0054749F">
        <w:rPr>
          <w:rFonts w:asciiTheme="minorHAnsi" w:hAnsiTheme="minorHAnsi" w:cs="Arial"/>
          <w:b/>
          <w:color w:val="000000"/>
          <w:sz w:val="22"/>
          <w:szCs w:val="22"/>
        </w:rPr>
        <w:t xml:space="preserve">Schwellenwert alt: </w:t>
      </w:r>
      <w:r>
        <w:rPr>
          <w:rFonts w:asciiTheme="minorHAnsi" w:hAnsiTheme="minorHAnsi" w:cs="Arial"/>
          <w:b/>
          <w:color w:val="FF0000"/>
          <w:sz w:val="22"/>
          <w:szCs w:val="22"/>
        </w:rPr>
        <w:t>17 %</w:t>
      </w:r>
    </w:p>
    <w:p w:rsidR="007A42C7" w:rsidRDefault="007A42C7" w:rsidP="007A42C7">
      <w:pPr>
        <w:pStyle w:val="StandardWeb"/>
        <w:spacing w:before="120" w:beforeAutospacing="0" w:after="0" w:afterAutospacing="0"/>
        <w:ind w:left="360" w:hanging="360"/>
        <w:rPr>
          <w:rFonts w:asciiTheme="minorHAnsi" w:hAnsiTheme="minorHAnsi" w:cs="Arial"/>
          <w:b/>
          <w:color w:val="000000"/>
          <w:sz w:val="22"/>
          <w:szCs w:val="22"/>
        </w:rPr>
      </w:pPr>
    </w:p>
    <w:p w:rsidR="007A42C7" w:rsidRDefault="007A42C7" w:rsidP="007A42C7">
      <w:pPr>
        <w:pStyle w:val="StandardWeb"/>
        <w:spacing w:before="120" w:beforeAutospacing="0" w:after="0" w:afterAutospacing="0"/>
        <w:ind w:left="360" w:hanging="360"/>
        <w:rPr>
          <w:rFonts w:asciiTheme="minorHAnsi" w:hAnsiTheme="minorHAnsi" w:cs="Arial"/>
          <w:b/>
          <w:color w:val="000000"/>
          <w:sz w:val="22"/>
          <w:szCs w:val="22"/>
        </w:rPr>
      </w:pPr>
      <w:r w:rsidRPr="0054749F">
        <w:rPr>
          <w:rFonts w:asciiTheme="minorHAnsi" w:hAnsiTheme="minorHAnsi" w:cs="Arial"/>
          <w:b/>
          <w:color w:val="000000"/>
          <w:sz w:val="22"/>
          <w:szCs w:val="22"/>
        </w:rPr>
        <w:t>Analyse:</w:t>
      </w:r>
    </w:p>
    <w:p w:rsidR="007A42C7" w:rsidRDefault="007A42C7" w:rsidP="007A42C7">
      <w:pPr>
        <w:pStyle w:val="StandardWeb"/>
        <w:spacing w:before="120" w:beforeAutospacing="0" w:after="0" w:afterAutospacing="0"/>
        <w:ind w:left="360" w:hanging="360"/>
        <w:rPr>
          <w:rFonts w:asciiTheme="minorHAnsi" w:hAnsiTheme="minorHAnsi" w:cs="Arial"/>
          <w:b/>
          <w:color w:val="000000"/>
          <w:sz w:val="22"/>
          <w:szCs w:val="22"/>
        </w:rPr>
      </w:pPr>
      <w:r>
        <w:rPr>
          <w:noProof/>
        </w:rPr>
        <w:drawing>
          <wp:inline distT="0" distB="0" distL="0" distR="0">
            <wp:extent cx="5759450" cy="3165065"/>
            <wp:effectExtent l="0" t="0" r="0" b="0"/>
            <wp:docPr id="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59450" cy="3165065"/>
                    </a:xfrm>
                    <a:prstGeom prst="rect">
                      <a:avLst/>
                    </a:prstGeom>
                  </pic:spPr>
                </pic:pic>
              </a:graphicData>
            </a:graphic>
          </wp:inline>
        </w:drawing>
      </w:r>
    </w:p>
    <w:p w:rsidR="007A42C7" w:rsidRPr="0054749F" w:rsidRDefault="007A42C7" w:rsidP="007A42C7">
      <w:pPr>
        <w:pStyle w:val="StandardWeb"/>
        <w:spacing w:before="120" w:beforeAutospacing="0" w:after="0" w:afterAutospacing="0"/>
        <w:ind w:left="360" w:hanging="360"/>
        <w:rPr>
          <w:rFonts w:asciiTheme="minorHAnsi" w:hAnsiTheme="minorHAnsi" w:cs="Arial"/>
          <w:b/>
          <w:color w:val="000000"/>
          <w:sz w:val="22"/>
          <w:szCs w:val="22"/>
        </w:rPr>
      </w:pPr>
    </w:p>
    <w:p w:rsidR="007A42C7" w:rsidRDefault="007A42C7" w:rsidP="007A42C7">
      <w:pPr>
        <w:pStyle w:val="StandardWeb"/>
        <w:spacing w:before="120" w:beforeAutospacing="0" w:after="0" w:afterAutospacing="0"/>
        <w:rPr>
          <w:rFonts w:ascii="Arial" w:hAnsi="Arial" w:cs="Arial"/>
          <w:sz w:val="22"/>
        </w:rPr>
      </w:pPr>
      <w:r>
        <w:rPr>
          <w:rFonts w:ascii="Arial" w:hAnsi="Arial" w:cs="Arial"/>
          <w:sz w:val="22"/>
        </w:rPr>
        <w:t xml:space="preserve">139 </w:t>
      </w:r>
      <w:r w:rsidRPr="000241A2">
        <w:rPr>
          <w:rFonts w:ascii="Arial" w:hAnsi="Arial" w:cs="Arial"/>
          <w:sz w:val="22"/>
        </w:rPr>
        <w:t>Schüler waren in der Versetzungskonferenz und 1</w:t>
      </w:r>
      <w:r>
        <w:rPr>
          <w:rFonts w:ascii="Arial" w:hAnsi="Arial" w:cs="Arial"/>
          <w:sz w:val="22"/>
        </w:rPr>
        <w:t>22</w:t>
      </w:r>
      <w:r w:rsidRPr="000241A2">
        <w:rPr>
          <w:rFonts w:ascii="Arial" w:hAnsi="Arial" w:cs="Arial"/>
          <w:sz w:val="22"/>
        </w:rPr>
        <w:t xml:space="preserve"> Schüler (8</w:t>
      </w:r>
      <w:r>
        <w:rPr>
          <w:rFonts w:ascii="Arial" w:hAnsi="Arial" w:cs="Arial"/>
          <w:sz w:val="22"/>
        </w:rPr>
        <w:t>8</w:t>
      </w:r>
      <w:r w:rsidRPr="000241A2">
        <w:rPr>
          <w:rFonts w:ascii="Arial" w:hAnsi="Arial" w:cs="Arial"/>
          <w:sz w:val="22"/>
        </w:rPr>
        <w:t xml:space="preserve"> %) wurden versetzt.</w:t>
      </w:r>
    </w:p>
    <w:p w:rsidR="007A42C7" w:rsidRDefault="007A42C7" w:rsidP="007A42C7">
      <w:pPr>
        <w:pStyle w:val="StandardWeb"/>
        <w:spacing w:before="120" w:beforeAutospacing="0" w:after="0" w:afterAutospacing="0"/>
        <w:jc w:val="both"/>
        <w:rPr>
          <w:rFonts w:ascii="Arial" w:hAnsi="Arial" w:cs="Arial"/>
          <w:sz w:val="22"/>
        </w:rPr>
      </w:pPr>
      <w:r w:rsidRPr="007369D0">
        <w:rPr>
          <w:rFonts w:ascii="Arial" w:hAnsi="Arial" w:cs="Arial"/>
          <w:sz w:val="22"/>
        </w:rPr>
        <w:t xml:space="preserve">Es zeigt sich, </w:t>
      </w:r>
      <w:r>
        <w:rPr>
          <w:rFonts w:ascii="Arial" w:hAnsi="Arial" w:cs="Arial"/>
          <w:sz w:val="22"/>
        </w:rPr>
        <w:t>w</w:t>
      </w:r>
      <w:r w:rsidRPr="000241A2">
        <w:rPr>
          <w:rFonts w:ascii="Arial" w:hAnsi="Arial" w:cs="Arial"/>
          <w:sz w:val="22"/>
        </w:rPr>
        <w:t>ie auch in Vorjahren</w:t>
      </w:r>
      <w:r>
        <w:rPr>
          <w:rFonts w:ascii="Arial" w:hAnsi="Arial" w:cs="Arial"/>
          <w:sz w:val="22"/>
        </w:rPr>
        <w:t>,</w:t>
      </w:r>
      <w:r w:rsidRPr="000241A2">
        <w:rPr>
          <w:rFonts w:ascii="Arial" w:hAnsi="Arial" w:cs="Arial"/>
          <w:sz w:val="22"/>
        </w:rPr>
        <w:t xml:space="preserve"> </w:t>
      </w:r>
      <w:r w:rsidRPr="007369D0">
        <w:rPr>
          <w:rFonts w:ascii="Arial" w:hAnsi="Arial" w:cs="Arial"/>
          <w:sz w:val="22"/>
        </w:rPr>
        <w:t>dass die Schüler gerade in den allgemeinbildenden F</w:t>
      </w:r>
      <w:r w:rsidRPr="007369D0">
        <w:rPr>
          <w:rFonts w:ascii="Arial" w:hAnsi="Arial" w:cs="Arial"/>
          <w:sz w:val="22"/>
        </w:rPr>
        <w:t>ä</w:t>
      </w:r>
      <w:r w:rsidRPr="007369D0">
        <w:rPr>
          <w:rFonts w:ascii="Arial" w:hAnsi="Arial" w:cs="Arial"/>
          <w:sz w:val="22"/>
        </w:rPr>
        <w:t>chern auf Grund</w:t>
      </w:r>
      <w:r>
        <w:rPr>
          <w:rFonts w:ascii="Arial" w:hAnsi="Arial" w:cs="Arial"/>
          <w:sz w:val="22"/>
        </w:rPr>
        <w:t xml:space="preserve"> </w:t>
      </w:r>
      <w:r w:rsidRPr="007369D0">
        <w:rPr>
          <w:rFonts w:ascii="Arial" w:hAnsi="Arial" w:cs="Arial"/>
          <w:sz w:val="22"/>
        </w:rPr>
        <w:t xml:space="preserve">defizitärer Vorkenntnisse den Anforderungen der Fachoberschule, </w:t>
      </w:r>
      <w:r>
        <w:rPr>
          <w:rFonts w:ascii="Arial" w:hAnsi="Arial" w:cs="Arial"/>
          <w:sz w:val="22"/>
        </w:rPr>
        <w:br/>
      </w:r>
      <w:r w:rsidRPr="007369D0">
        <w:rPr>
          <w:rFonts w:ascii="Arial" w:hAnsi="Arial" w:cs="Arial"/>
          <w:sz w:val="22"/>
        </w:rPr>
        <w:t>Klassenstufe 11 nicht entsprechen</w:t>
      </w:r>
      <w:r>
        <w:rPr>
          <w:rFonts w:ascii="Arial" w:hAnsi="Arial" w:cs="Arial"/>
          <w:sz w:val="22"/>
        </w:rPr>
        <w:t xml:space="preserve">. </w:t>
      </w:r>
      <w:r w:rsidRPr="00281AB5">
        <w:rPr>
          <w:rFonts w:ascii="Arial" w:hAnsi="Arial" w:cs="Arial"/>
          <w:sz w:val="22"/>
        </w:rPr>
        <w:t>In diesem Zusammenhang wird auf den landesweiten Schulver</w:t>
      </w:r>
      <w:r>
        <w:rPr>
          <w:rFonts w:ascii="Arial" w:hAnsi="Arial" w:cs="Arial"/>
          <w:sz w:val="22"/>
        </w:rPr>
        <w:t>such „</w:t>
      </w:r>
      <w:proofErr w:type="spellStart"/>
      <w:r w:rsidRPr="00281AB5">
        <w:rPr>
          <w:rFonts w:ascii="Arial" w:hAnsi="Arial" w:cs="Arial"/>
          <w:sz w:val="22"/>
        </w:rPr>
        <w:t>FOS</w:t>
      </w:r>
      <w:r>
        <w:rPr>
          <w:rFonts w:ascii="Arial" w:hAnsi="Arial" w:cs="Arial"/>
          <w:sz w:val="22"/>
        </w:rPr>
        <w:t>.Plus</w:t>
      </w:r>
      <w:proofErr w:type="spellEnd"/>
      <w:r>
        <w:rPr>
          <w:rFonts w:ascii="Arial" w:hAnsi="Arial" w:cs="Arial"/>
          <w:sz w:val="22"/>
        </w:rPr>
        <w:t>"</w:t>
      </w:r>
      <w:r w:rsidRPr="00281AB5">
        <w:rPr>
          <w:rFonts w:ascii="Arial" w:hAnsi="Arial" w:cs="Arial"/>
          <w:sz w:val="22"/>
        </w:rPr>
        <w:t xml:space="preserve"> verwiesen, der</w:t>
      </w:r>
      <w:r>
        <w:rPr>
          <w:rFonts w:ascii="Arial" w:hAnsi="Arial" w:cs="Arial"/>
          <w:sz w:val="22"/>
        </w:rPr>
        <w:t xml:space="preserve"> </w:t>
      </w:r>
      <w:r w:rsidRPr="00281AB5">
        <w:rPr>
          <w:rFonts w:ascii="Arial" w:hAnsi="Arial" w:cs="Arial"/>
          <w:sz w:val="22"/>
        </w:rPr>
        <w:t xml:space="preserve">gerade dieser Problematik </w:t>
      </w:r>
      <w:r>
        <w:rPr>
          <w:rFonts w:ascii="Arial" w:hAnsi="Arial" w:cs="Arial"/>
          <w:sz w:val="22"/>
        </w:rPr>
        <w:t>im allgemeinbildenden B</w:t>
      </w:r>
      <w:r>
        <w:rPr>
          <w:rFonts w:ascii="Arial" w:hAnsi="Arial" w:cs="Arial"/>
          <w:sz w:val="22"/>
        </w:rPr>
        <w:t>e</w:t>
      </w:r>
      <w:r>
        <w:rPr>
          <w:rFonts w:ascii="Arial" w:hAnsi="Arial" w:cs="Arial"/>
          <w:sz w:val="22"/>
        </w:rPr>
        <w:t xml:space="preserve">reich </w:t>
      </w:r>
      <w:r w:rsidRPr="00281AB5">
        <w:rPr>
          <w:rFonts w:ascii="Arial" w:hAnsi="Arial" w:cs="Arial"/>
          <w:sz w:val="22"/>
        </w:rPr>
        <w:t>Abhilfe schaffen soll bzw. eine Berufswegeberatung sicherstellen soll.</w:t>
      </w:r>
      <w:r>
        <w:rPr>
          <w:rFonts w:ascii="Arial" w:hAnsi="Arial" w:cs="Arial"/>
          <w:sz w:val="22"/>
        </w:rPr>
        <w:t xml:space="preserve"> </w:t>
      </w:r>
      <w:r>
        <w:rPr>
          <w:rFonts w:ascii="Arial" w:hAnsi="Arial" w:cs="Arial"/>
          <w:sz w:val="22"/>
        </w:rPr>
        <w:br/>
        <w:t>So zeigt sich, dass im Fach Mathematik weniger Minderleistungen zu verzeichnen waren, w</w:t>
      </w:r>
      <w:r>
        <w:rPr>
          <w:rFonts w:ascii="Arial" w:hAnsi="Arial" w:cs="Arial"/>
          <w:sz w:val="22"/>
        </w:rPr>
        <w:t>o</w:t>
      </w:r>
      <w:r>
        <w:rPr>
          <w:rFonts w:ascii="Arial" w:hAnsi="Arial" w:cs="Arial"/>
          <w:sz w:val="22"/>
        </w:rPr>
        <w:t>hingegen der Anteil der Schüler, die nicht ausreichende Leistungen in dem Fach Deutsch er</w:t>
      </w:r>
      <w:r>
        <w:rPr>
          <w:rFonts w:ascii="Arial" w:hAnsi="Arial" w:cs="Arial"/>
          <w:sz w:val="22"/>
        </w:rPr>
        <w:t>b</w:t>
      </w:r>
      <w:r>
        <w:rPr>
          <w:rFonts w:ascii="Arial" w:hAnsi="Arial" w:cs="Arial"/>
          <w:sz w:val="22"/>
        </w:rPr>
        <w:t>racht haben, nahezu unverändert blieb. In den Fremdsprachen sank der Anteil der Minderlei</w:t>
      </w:r>
      <w:r>
        <w:rPr>
          <w:rFonts w:ascii="Arial" w:hAnsi="Arial" w:cs="Arial"/>
          <w:sz w:val="22"/>
        </w:rPr>
        <w:t>s</w:t>
      </w:r>
      <w:r>
        <w:rPr>
          <w:rFonts w:ascii="Arial" w:hAnsi="Arial" w:cs="Arial"/>
          <w:sz w:val="22"/>
        </w:rPr>
        <w:t>tungen im Vergleich zum Vorjahr leicht. Jedoch zeigt sich auch, dass gerade die leistung</w:t>
      </w:r>
      <w:r>
        <w:rPr>
          <w:rFonts w:ascii="Arial" w:hAnsi="Arial" w:cs="Arial"/>
          <w:sz w:val="22"/>
        </w:rPr>
        <w:t>s</w:t>
      </w:r>
      <w:r>
        <w:rPr>
          <w:rFonts w:ascii="Arial" w:hAnsi="Arial" w:cs="Arial"/>
          <w:sz w:val="22"/>
        </w:rPr>
        <w:t>schwächeren Schüler in die Fachoberschule wechseln und leistungsstärkere Schüler dagegen an den Gemeinschaftsschulen verbleiben oder auch in eine Ausbildung wechseln. Auch ist e</w:t>
      </w:r>
      <w:r>
        <w:rPr>
          <w:rFonts w:ascii="Arial" w:hAnsi="Arial" w:cs="Arial"/>
          <w:sz w:val="22"/>
        </w:rPr>
        <w:t>r</w:t>
      </w:r>
      <w:r>
        <w:rPr>
          <w:rFonts w:ascii="Arial" w:hAnsi="Arial" w:cs="Arial"/>
          <w:sz w:val="22"/>
        </w:rPr>
        <w:t>kennbar, dass die Nichtversetzung bzw. der vorzeitige Abgang oftmals mit einem mangelnden Schulbesuch und den daraus resultierenden Erziehungs- und Ordnungsma</w:t>
      </w:r>
      <w:r>
        <w:rPr>
          <w:rFonts w:ascii="Arial" w:hAnsi="Arial" w:cs="Arial"/>
          <w:sz w:val="22"/>
        </w:rPr>
        <w:t>ß</w:t>
      </w:r>
      <w:r>
        <w:rPr>
          <w:rFonts w:ascii="Arial" w:hAnsi="Arial" w:cs="Arial"/>
          <w:sz w:val="22"/>
        </w:rPr>
        <w:t>nahmen korreliert.</w:t>
      </w:r>
    </w:p>
    <w:p w:rsidR="007A42C7" w:rsidRDefault="007A42C7" w:rsidP="007A42C7">
      <w:pPr>
        <w:pStyle w:val="StandardWeb"/>
        <w:spacing w:before="120" w:beforeAutospacing="0" w:after="0" w:afterAutospacing="0"/>
        <w:rPr>
          <w:rFonts w:ascii="Arial" w:hAnsi="Arial" w:cs="Arial"/>
          <w:sz w:val="22"/>
        </w:rPr>
      </w:pPr>
      <w:r w:rsidRPr="00281AB5">
        <w:rPr>
          <w:rFonts w:ascii="Arial" w:hAnsi="Arial" w:cs="Arial"/>
          <w:sz w:val="22"/>
        </w:rPr>
        <w:t>Darübe</w:t>
      </w:r>
      <w:r>
        <w:rPr>
          <w:rFonts w:ascii="Arial" w:hAnsi="Arial" w:cs="Arial"/>
          <w:sz w:val="22"/>
        </w:rPr>
        <w:t>r hinaus waren im Schuljahr 2017</w:t>
      </w:r>
      <w:r w:rsidRPr="00281AB5">
        <w:rPr>
          <w:rFonts w:ascii="Arial" w:hAnsi="Arial" w:cs="Arial"/>
          <w:sz w:val="22"/>
        </w:rPr>
        <w:t>/1</w:t>
      </w:r>
      <w:r>
        <w:rPr>
          <w:rFonts w:ascii="Arial" w:hAnsi="Arial" w:cs="Arial"/>
          <w:sz w:val="22"/>
        </w:rPr>
        <w:t>8</w:t>
      </w:r>
      <w:r w:rsidRPr="00281AB5">
        <w:rPr>
          <w:rFonts w:ascii="Arial" w:hAnsi="Arial" w:cs="Arial"/>
          <w:sz w:val="22"/>
        </w:rPr>
        <w:t xml:space="preserve"> auch schwächere Leistungen in den wirtschaftl</w:t>
      </w:r>
      <w:r w:rsidRPr="00281AB5">
        <w:rPr>
          <w:rFonts w:ascii="Arial" w:hAnsi="Arial" w:cs="Arial"/>
          <w:sz w:val="22"/>
        </w:rPr>
        <w:t>i</w:t>
      </w:r>
      <w:r w:rsidRPr="00281AB5">
        <w:rPr>
          <w:rFonts w:ascii="Arial" w:hAnsi="Arial" w:cs="Arial"/>
          <w:sz w:val="22"/>
        </w:rPr>
        <w:t>chen Kernfächer</w:t>
      </w:r>
      <w:r>
        <w:rPr>
          <w:rFonts w:ascii="Arial" w:hAnsi="Arial" w:cs="Arial"/>
          <w:sz w:val="22"/>
        </w:rPr>
        <w:t xml:space="preserve">n Betriebswirtschaftslehre (VJ: Rechnungswesen) </w:t>
      </w:r>
      <w:r w:rsidRPr="00281AB5">
        <w:rPr>
          <w:rFonts w:ascii="Arial" w:hAnsi="Arial" w:cs="Arial"/>
          <w:sz w:val="22"/>
        </w:rPr>
        <w:t>zu verzeichnen.</w:t>
      </w:r>
    </w:p>
    <w:p w:rsidR="007A42C7" w:rsidRDefault="007A42C7" w:rsidP="007A42C7">
      <w:pPr>
        <w:shd w:val="clear" w:color="auto" w:fill="FFFFFF" w:themeFill="background1"/>
        <w:rPr>
          <w:rFonts w:ascii="Arial" w:hAnsi="Arial" w:cs="Arial"/>
        </w:rPr>
      </w:pPr>
    </w:p>
    <w:p w:rsidR="00E55CB2" w:rsidRPr="0054749F" w:rsidRDefault="00E55CB2" w:rsidP="00E55CB2">
      <w:pPr>
        <w:pStyle w:val="StandardWeb"/>
        <w:spacing w:before="120" w:beforeAutospacing="0" w:after="0" w:afterAutospacing="0"/>
        <w:ind w:left="360" w:hanging="360"/>
        <w:rPr>
          <w:rFonts w:asciiTheme="minorHAnsi" w:hAnsiTheme="minorHAnsi" w:cs="Arial"/>
          <w:b/>
          <w:color w:val="000000"/>
          <w:sz w:val="22"/>
          <w:szCs w:val="22"/>
        </w:rPr>
      </w:pPr>
      <w:r w:rsidRPr="0054749F">
        <w:rPr>
          <w:rFonts w:asciiTheme="minorHAnsi" w:hAnsiTheme="minorHAnsi" w:cs="Arial"/>
          <w:b/>
          <w:color w:val="000000"/>
          <w:sz w:val="22"/>
          <w:szCs w:val="22"/>
        </w:rPr>
        <w:t>Maßnahmen:</w:t>
      </w:r>
    </w:p>
    <w:p w:rsidR="00E55CB2" w:rsidRDefault="00E55CB2" w:rsidP="00E55CB2">
      <w:pPr>
        <w:pStyle w:val="StandardWeb"/>
        <w:spacing w:before="120" w:beforeAutospacing="0" w:after="0" w:afterAutospacing="0"/>
        <w:rPr>
          <w:rFonts w:ascii="Arial" w:hAnsi="Arial" w:cs="Arial"/>
          <w:b/>
          <w:color w:val="000000"/>
          <w:sz w:val="20"/>
          <w:szCs w:val="22"/>
        </w:rPr>
      </w:pPr>
    </w:p>
    <w:p w:rsidR="00E55CB2" w:rsidRDefault="00E55CB2" w:rsidP="00E55CB2">
      <w:pPr>
        <w:ind w:right="360"/>
        <w:jc w:val="both"/>
        <w:rPr>
          <w:rFonts w:ascii="Arial" w:hAnsi="Arial" w:cs="Arial"/>
        </w:rPr>
      </w:pPr>
      <w:r w:rsidRPr="00036B7B">
        <w:rPr>
          <w:rFonts w:ascii="Arial" w:hAnsi="Arial" w:cs="Arial"/>
        </w:rPr>
        <w:t xml:space="preserve">Durch die schülerindividuelle Förderung im Rahmen des landesweiten Schulversuches </w:t>
      </w:r>
      <w:r>
        <w:rPr>
          <w:rFonts w:ascii="Arial" w:hAnsi="Arial" w:cs="Arial"/>
        </w:rPr>
        <w:t>„</w:t>
      </w:r>
      <w:proofErr w:type="spellStart"/>
      <w:r w:rsidRPr="00036B7B">
        <w:rPr>
          <w:rFonts w:ascii="Arial" w:hAnsi="Arial" w:cs="Arial"/>
        </w:rPr>
        <w:t>FOS</w:t>
      </w:r>
      <w:r>
        <w:rPr>
          <w:rFonts w:ascii="Arial" w:hAnsi="Arial" w:cs="Arial"/>
        </w:rPr>
        <w:t>.Plus</w:t>
      </w:r>
      <w:proofErr w:type="spellEnd"/>
      <w:r>
        <w:rPr>
          <w:rFonts w:ascii="Arial" w:hAnsi="Arial" w:cs="Arial"/>
        </w:rPr>
        <w:t>“</w:t>
      </w:r>
      <w:r w:rsidRPr="00036B7B">
        <w:rPr>
          <w:rFonts w:ascii="Arial" w:hAnsi="Arial" w:cs="Arial"/>
        </w:rPr>
        <w:t xml:space="preserve"> wird für das Schuljahr 201</w:t>
      </w:r>
      <w:r>
        <w:rPr>
          <w:rFonts w:ascii="Arial" w:hAnsi="Arial" w:cs="Arial"/>
        </w:rPr>
        <w:t>8</w:t>
      </w:r>
      <w:r w:rsidRPr="00036B7B">
        <w:rPr>
          <w:rFonts w:ascii="Arial" w:hAnsi="Arial" w:cs="Arial"/>
        </w:rPr>
        <w:t>/1</w:t>
      </w:r>
      <w:r>
        <w:rPr>
          <w:rFonts w:ascii="Arial" w:hAnsi="Arial" w:cs="Arial"/>
        </w:rPr>
        <w:t>9</w:t>
      </w:r>
      <w:r w:rsidRPr="00036B7B">
        <w:rPr>
          <w:rFonts w:ascii="Arial" w:hAnsi="Arial" w:cs="Arial"/>
        </w:rPr>
        <w:t xml:space="preserve"> erwartet, dass sich diese Förderung auf die zum</w:t>
      </w:r>
      <w:r w:rsidRPr="007730E7">
        <w:rPr>
          <w:rFonts w:ascii="Arial" w:hAnsi="Arial" w:cs="Arial"/>
        </w:rPr>
        <w:t xml:space="preserve"> </w:t>
      </w:r>
      <w:r>
        <w:rPr>
          <w:rFonts w:ascii="Arial" w:hAnsi="Arial" w:cs="Arial"/>
        </w:rPr>
        <w:t xml:space="preserve">Teil </w:t>
      </w:r>
      <w:r w:rsidRPr="007730E7">
        <w:rPr>
          <w:rFonts w:ascii="Arial" w:hAnsi="Arial" w:cs="Arial"/>
        </w:rPr>
        <w:t>mangelnden Vorkenntnisse</w:t>
      </w:r>
      <w:r>
        <w:rPr>
          <w:rFonts w:ascii="Arial" w:hAnsi="Arial" w:cs="Arial"/>
        </w:rPr>
        <w:t xml:space="preserve"> der </w:t>
      </w:r>
      <w:proofErr w:type="spellStart"/>
      <w:r>
        <w:rPr>
          <w:rFonts w:ascii="Arial" w:hAnsi="Arial" w:cs="Arial"/>
        </w:rPr>
        <w:t>SchülerInnen</w:t>
      </w:r>
      <w:proofErr w:type="spellEnd"/>
      <w:r w:rsidRPr="007730E7">
        <w:rPr>
          <w:rFonts w:ascii="Arial" w:hAnsi="Arial" w:cs="Arial"/>
        </w:rPr>
        <w:t xml:space="preserve"> in der Klassenstufe </w:t>
      </w:r>
      <w:r>
        <w:rPr>
          <w:rFonts w:ascii="Arial" w:hAnsi="Arial" w:cs="Arial"/>
        </w:rPr>
        <w:t xml:space="preserve">11 positiv und </w:t>
      </w:r>
      <w:r>
        <w:rPr>
          <w:rFonts w:ascii="Arial" w:hAnsi="Arial" w:cs="Arial"/>
        </w:rPr>
        <w:br/>
      </w:r>
      <w:r>
        <w:rPr>
          <w:rFonts w:ascii="Arial" w:hAnsi="Arial" w:cs="Arial"/>
        </w:rPr>
        <w:lastRenderedPageBreak/>
        <w:t xml:space="preserve">damit auch </w:t>
      </w:r>
      <w:r w:rsidRPr="007730E7">
        <w:rPr>
          <w:rFonts w:ascii="Arial" w:hAnsi="Arial" w:cs="Arial"/>
        </w:rPr>
        <w:t xml:space="preserve">nachhaltig auf </w:t>
      </w:r>
      <w:r>
        <w:rPr>
          <w:rFonts w:ascii="Arial" w:hAnsi="Arial" w:cs="Arial"/>
        </w:rPr>
        <w:t>die Versetzungsquote auswirken wird, was sich jedoch für das abgelaufene Schuljahr nur teilweise verzeichnen ließ.</w:t>
      </w:r>
    </w:p>
    <w:p w:rsidR="00E55CB2" w:rsidRDefault="00E55CB2" w:rsidP="00E55CB2">
      <w:pPr>
        <w:ind w:right="360"/>
        <w:jc w:val="both"/>
        <w:rPr>
          <w:rFonts w:ascii="Arial" w:hAnsi="Arial" w:cs="Arial"/>
        </w:rPr>
      </w:pPr>
    </w:p>
    <w:p w:rsidR="00E55CB2" w:rsidRPr="007730E7" w:rsidRDefault="00E55CB2" w:rsidP="00E55CB2">
      <w:pPr>
        <w:ind w:right="360"/>
        <w:jc w:val="both"/>
        <w:rPr>
          <w:rFonts w:ascii="Arial" w:hAnsi="Arial" w:cs="Arial"/>
        </w:rPr>
      </w:pPr>
      <w:r>
        <w:rPr>
          <w:rFonts w:ascii="Arial" w:hAnsi="Arial" w:cs="Arial"/>
        </w:rPr>
        <w:t xml:space="preserve">Darüber hinaus sollen durch die Berufswegeberatung weiterhin insbesondere </w:t>
      </w:r>
      <w:proofErr w:type="spellStart"/>
      <w:r>
        <w:rPr>
          <w:rFonts w:ascii="Arial" w:hAnsi="Arial" w:cs="Arial"/>
        </w:rPr>
        <w:t>SchülerI</w:t>
      </w:r>
      <w:r>
        <w:rPr>
          <w:rFonts w:ascii="Arial" w:hAnsi="Arial" w:cs="Arial"/>
        </w:rPr>
        <w:t>n</w:t>
      </w:r>
      <w:r>
        <w:rPr>
          <w:rFonts w:ascii="Arial" w:hAnsi="Arial" w:cs="Arial"/>
        </w:rPr>
        <w:t>nen</w:t>
      </w:r>
      <w:proofErr w:type="spellEnd"/>
      <w:r>
        <w:rPr>
          <w:rFonts w:ascii="Arial" w:hAnsi="Arial" w:cs="Arial"/>
        </w:rPr>
        <w:t xml:space="preserve"> mit schwächeren Leistungen, die möglicherweise das Leistungsziel der Fachobe</w:t>
      </w:r>
      <w:r>
        <w:rPr>
          <w:rFonts w:ascii="Arial" w:hAnsi="Arial" w:cs="Arial"/>
        </w:rPr>
        <w:t>r</w:t>
      </w:r>
      <w:r>
        <w:rPr>
          <w:rFonts w:ascii="Arial" w:hAnsi="Arial" w:cs="Arial"/>
        </w:rPr>
        <w:t>schule nicht erreichen werden, mit Hilfe der Arbeitsagentur und Angeboten der IHK in eine Ausbi</w:t>
      </w:r>
      <w:r>
        <w:rPr>
          <w:rFonts w:ascii="Arial" w:hAnsi="Arial" w:cs="Arial"/>
        </w:rPr>
        <w:t>l</w:t>
      </w:r>
      <w:r>
        <w:rPr>
          <w:rFonts w:ascii="Arial" w:hAnsi="Arial" w:cs="Arial"/>
        </w:rPr>
        <w:t>dung vermittelt werden.</w:t>
      </w:r>
      <w:r w:rsidRPr="007730E7">
        <w:rPr>
          <w:rFonts w:ascii="Arial" w:hAnsi="Arial" w:cs="Arial"/>
        </w:rPr>
        <w:t xml:space="preserve"> </w:t>
      </w:r>
    </w:p>
    <w:p w:rsidR="00E55CB2" w:rsidRPr="005C22DC" w:rsidRDefault="00E55CB2" w:rsidP="00E55CB2">
      <w:pPr>
        <w:pStyle w:val="StandardWeb"/>
        <w:spacing w:before="120" w:beforeAutospacing="0" w:after="0" w:afterAutospacing="0"/>
        <w:rPr>
          <w:rFonts w:ascii="Arial" w:hAnsi="Arial" w:cs="Arial"/>
          <w:b/>
          <w:color w:val="000000"/>
          <w:sz w:val="20"/>
          <w:szCs w:val="22"/>
        </w:rPr>
      </w:pPr>
    </w:p>
    <w:p w:rsidR="00E55CB2" w:rsidRDefault="00E55CB2" w:rsidP="00E55CB2">
      <w:pPr>
        <w:pStyle w:val="StandardWeb"/>
        <w:spacing w:before="120" w:beforeAutospacing="0" w:after="0" w:afterAutospacing="0"/>
        <w:rPr>
          <w:rFonts w:asciiTheme="minorHAnsi" w:hAnsiTheme="minorHAnsi" w:cs="Arial"/>
          <w:b/>
          <w:color w:val="FF0000"/>
          <w:sz w:val="22"/>
          <w:szCs w:val="22"/>
        </w:rPr>
      </w:pPr>
      <w:r w:rsidRPr="0054749F">
        <w:rPr>
          <w:rFonts w:asciiTheme="minorHAnsi" w:hAnsiTheme="minorHAnsi" w:cs="Arial"/>
          <w:b/>
          <w:color w:val="000000"/>
          <w:sz w:val="22"/>
          <w:szCs w:val="22"/>
        </w:rPr>
        <w:t xml:space="preserve">Schwellenwert neu: </w:t>
      </w:r>
      <w:r>
        <w:rPr>
          <w:rFonts w:asciiTheme="minorHAnsi" w:hAnsiTheme="minorHAnsi" w:cs="Arial"/>
          <w:b/>
          <w:color w:val="FF0000"/>
          <w:sz w:val="22"/>
          <w:szCs w:val="22"/>
        </w:rPr>
        <w:t>12 %</w:t>
      </w:r>
    </w:p>
    <w:p w:rsidR="001B04F6" w:rsidRDefault="001B04F6" w:rsidP="00DB1498">
      <w:pPr>
        <w:autoSpaceDE w:val="0"/>
        <w:autoSpaceDN w:val="0"/>
        <w:adjustRightInd w:val="0"/>
        <w:spacing w:after="0" w:line="240" w:lineRule="auto"/>
        <w:rPr>
          <w:rFonts w:ascii="DHPNGK+Arial,BoldItalic" w:hAnsi="DHPNGK+Arial,BoldItalic" w:cs="DHPNGK+Arial,BoldItalic"/>
          <w:color w:val="000000"/>
          <w:sz w:val="23"/>
          <w:szCs w:val="23"/>
          <w:lang w:eastAsia="de-DE"/>
        </w:rPr>
      </w:pPr>
    </w:p>
    <w:p w:rsidR="001B04F6" w:rsidRDefault="001B04F6" w:rsidP="00DB1498">
      <w:pPr>
        <w:autoSpaceDE w:val="0"/>
        <w:autoSpaceDN w:val="0"/>
        <w:adjustRightInd w:val="0"/>
        <w:spacing w:after="0" w:line="240" w:lineRule="auto"/>
        <w:rPr>
          <w:rFonts w:asciiTheme="minorHAnsi" w:hAnsiTheme="minorHAnsi" w:cs="DHPNGK+Arial,BoldItalic"/>
          <w:color w:val="000000"/>
          <w:lang w:eastAsia="de-DE"/>
        </w:rPr>
      </w:pPr>
    </w:p>
    <w:p w:rsidR="007A42C7" w:rsidRDefault="007A42C7">
      <w:pPr>
        <w:spacing w:after="0" w:line="240" w:lineRule="auto"/>
        <w:rPr>
          <w:rFonts w:asciiTheme="minorHAnsi" w:hAnsiTheme="minorHAnsi" w:cs="DHPNGK+Arial,BoldItalic"/>
          <w:color w:val="000000"/>
          <w:lang w:eastAsia="de-DE"/>
        </w:rPr>
      </w:pPr>
      <w:r>
        <w:rPr>
          <w:rFonts w:asciiTheme="minorHAnsi" w:hAnsiTheme="minorHAnsi" w:cs="DHPNGK+Arial,BoldItalic"/>
          <w:color w:val="000000"/>
          <w:lang w:eastAsia="de-DE"/>
        </w:rPr>
        <w:br w:type="page"/>
      </w:r>
    </w:p>
    <w:p w:rsidR="001B04F6" w:rsidRDefault="001B04F6" w:rsidP="00DB1498">
      <w:pPr>
        <w:autoSpaceDE w:val="0"/>
        <w:autoSpaceDN w:val="0"/>
        <w:adjustRightInd w:val="0"/>
        <w:spacing w:after="0" w:line="240" w:lineRule="auto"/>
        <w:rPr>
          <w:rFonts w:asciiTheme="minorHAnsi" w:hAnsiTheme="minorHAnsi" w:cs="DHPNGK+Arial,BoldItalic"/>
          <w:color w:val="000000"/>
          <w:lang w:eastAsia="de-DE"/>
        </w:rPr>
      </w:pPr>
    </w:p>
    <w:p w:rsidR="005F12A0" w:rsidRPr="009E05E3" w:rsidRDefault="005F12A0" w:rsidP="00DB1498">
      <w:pPr>
        <w:autoSpaceDE w:val="0"/>
        <w:autoSpaceDN w:val="0"/>
        <w:adjustRightInd w:val="0"/>
        <w:spacing w:after="0" w:line="240" w:lineRule="auto"/>
        <w:rPr>
          <w:rFonts w:ascii="DHPNGK+Arial,BoldItalic" w:hAnsi="DHPNGK+Arial,BoldItalic" w:cs="DHPNGK+Arial,BoldItalic"/>
          <w:b/>
          <w:sz w:val="32"/>
          <w:szCs w:val="32"/>
          <w:lang w:eastAsia="de-DE"/>
        </w:rPr>
      </w:pPr>
      <w:r w:rsidRPr="009E05E3">
        <w:rPr>
          <w:rFonts w:ascii="DHPNGK+Arial,BoldItalic" w:hAnsi="DHPNGK+Arial,BoldItalic" w:cs="DHPNGK+Arial,BoldItalic"/>
          <w:b/>
          <w:sz w:val="32"/>
          <w:szCs w:val="32"/>
          <w:lang w:eastAsia="de-DE"/>
        </w:rPr>
        <w:t>HANDELSSCHULE</w:t>
      </w:r>
    </w:p>
    <w:p w:rsidR="00F638CC" w:rsidRPr="00646AAA" w:rsidRDefault="00F638CC" w:rsidP="00DB1498">
      <w:pPr>
        <w:autoSpaceDE w:val="0"/>
        <w:autoSpaceDN w:val="0"/>
        <w:adjustRightInd w:val="0"/>
        <w:spacing w:after="0" w:line="240" w:lineRule="auto"/>
        <w:rPr>
          <w:rFonts w:ascii="DHPNGK+Arial,BoldItalic" w:hAnsi="DHPNGK+Arial,BoldItalic" w:cs="DHPNGK+Arial,BoldItalic"/>
          <w:b/>
          <w:color w:val="A6A6A6"/>
          <w:sz w:val="32"/>
          <w:szCs w:val="32"/>
          <w:lang w:eastAsia="de-DE"/>
        </w:rPr>
      </w:pPr>
    </w:p>
    <w:tbl>
      <w:tblPr>
        <w:tblpPr w:leftFromText="141" w:rightFromText="141" w:vertAnchor="text" w:tblpY="67"/>
        <w:tblW w:w="9760" w:type="dxa"/>
        <w:tblCellMar>
          <w:left w:w="70" w:type="dxa"/>
          <w:right w:w="70" w:type="dxa"/>
        </w:tblCellMar>
        <w:tblLook w:val="04A0"/>
      </w:tblPr>
      <w:tblGrid>
        <w:gridCol w:w="4880"/>
        <w:gridCol w:w="4880"/>
      </w:tblGrid>
      <w:tr w:rsidR="00F96F1F" w:rsidRPr="00646AAA" w:rsidTr="00E55CB2">
        <w:trPr>
          <w:trHeight w:val="3399"/>
        </w:trPr>
        <w:tc>
          <w:tcPr>
            <w:tcW w:w="4880" w:type="dxa"/>
            <w:shd w:val="clear" w:color="auto" w:fill="auto"/>
          </w:tcPr>
          <w:p w:rsidR="00D21CD9" w:rsidRPr="00646AAA" w:rsidRDefault="007A42C7" w:rsidP="00B54DC6">
            <w:pPr>
              <w:autoSpaceDE w:val="0"/>
              <w:autoSpaceDN w:val="0"/>
              <w:adjustRightInd w:val="0"/>
              <w:spacing w:after="0" w:line="240" w:lineRule="auto"/>
              <w:jc w:val="center"/>
              <w:rPr>
                <w:rFonts w:ascii="DHPNGK+Arial,BoldItalic" w:hAnsi="DHPNGK+Arial,BoldItalic" w:cs="DHPNGK+Arial,BoldItalic"/>
                <w:color w:val="A6A6A6"/>
                <w:sz w:val="23"/>
                <w:szCs w:val="23"/>
                <w:lang w:eastAsia="de-DE"/>
              </w:rPr>
            </w:pPr>
            <w:r w:rsidRPr="007A42C7">
              <w:rPr>
                <w:rFonts w:ascii="DHPNGK+Arial,BoldItalic" w:hAnsi="DHPNGK+Arial,BoldItalic" w:cs="DHPNGK+Arial,BoldItalic"/>
                <w:color w:val="A6A6A6"/>
                <w:sz w:val="23"/>
                <w:szCs w:val="23"/>
                <w:lang w:eastAsia="de-DE"/>
              </w:rPr>
              <w:drawing>
                <wp:inline distT="0" distB="0" distL="0" distR="0">
                  <wp:extent cx="2971800" cy="2251262"/>
                  <wp:effectExtent l="19050" t="0" r="19050" b="0"/>
                  <wp:docPr id="29"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880" w:type="dxa"/>
            <w:shd w:val="clear" w:color="auto" w:fill="auto"/>
          </w:tcPr>
          <w:p w:rsidR="00D21CD9" w:rsidRPr="00646AAA" w:rsidRDefault="007A42C7" w:rsidP="00B54DC6">
            <w:pPr>
              <w:autoSpaceDE w:val="0"/>
              <w:autoSpaceDN w:val="0"/>
              <w:adjustRightInd w:val="0"/>
              <w:spacing w:after="0" w:line="240" w:lineRule="auto"/>
              <w:rPr>
                <w:rFonts w:ascii="DHPNGK+Arial,BoldItalic" w:hAnsi="DHPNGK+Arial,BoldItalic" w:cs="DHPNGK+Arial,BoldItalic"/>
                <w:color w:val="A6A6A6"/>
                <w:sz w:val="23"/>
                <w:szCs w:val="23"/>
                <w:lang w:eastAsia="de-DE"/>
              </w:rPr>
            </w:pPr>
            <w:r w:rsidRPr="007A42C7">
              <w:rPr>
                <w:rFonts w:ascii="DHPNGK+Arial,BoldItalic" w:hAnsi="DHPNGK+Arial,BoldItalic" w:cs="DHPNGK+Arial,BoldItalic"/>
                <w:color w:val="A6A6A6"/>
                <w:sz w:val="23"/>
                <w:szCs w:val="23"/>
                <w:lang w:eastAsia="de-DE"/>
              </w:rPr>
              <w:drawing>
                <wp:inline distT="0" distB="0" distL="0" distR="0">
                  <wp:extent cx="2981325" cy="2298887"/>
                  <wp:effectExtent l="19050" t="0" r="9525" b="6163"/>
                  <wp:docPr id="30"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F96F1F" w:rsidRPr="00646AAA" w:rsidTr="00E55CB2">
        <w:tblPrEx>
          <w:tblCellMar>
            <w:left w:w="108" w:type="dxa"/>
            <w:right w:w="108" w:type="dxa"/>
          </w:tblCellMar>
        </w:tblPrEx>
        <w:trPr>
          <w:trHeight w:val="259"/>
        </w:trPr>
        <w:tc>
          <w:tcPr>
            <w:tcW w:w="4880" w:type="dxa"/>
            <w:shd w:val="clear" w:color="auto" w:fill="auto"/>
          </w:tcPr>
          <w:p w:rsidR="00D21CD9" w:rsidRPr="00646AAA" w:rsidRDefault="00D21CD9" w:rsidP="00B54DC6">
            <w:pPr>
              <w:autoSpaceDE w:val="0"/>
              <w:autoSpaceDN w:val="0"/>
              <w:adjustRightInd w:val="0"/>
              <w:spacing w:after="0" w:line="240" w:lineRule="auto"/>
              <w:rPr>
                <w:rFonts w:ascii="DHPNGK+Arial,BoldItalic" w:hAnsi="DHPNGK+Arial,BoldItalic" w:cs="DHPNGK+Arial,BoldItalic"/>
                <w:color w:val="A6A6A6"/>
                <w:sz w:val="16"/>
                <w:szCs w:val="16"/>
                <w:lang w:eastAsia="de-DE"/>
              </w:rPr>
            </w:pPr>
          </w:p>
        </w:tc>
        <w:tc>
          <w:tcPr>
            <w:tcW w:w="4880" w:type="dxa"/>
            <w:shd w:val="clear" w:color="auto" w:fill="auto"/>
          </w:tcPr>
          <w:p w:rsidR="00D21CD9" w:rsidRPr="00646AAA" w:rsidRDefault="00D21CD9" w:rsidP="00B54DC6">
            <w:pPr>
              <w:autoSpaceDE w:val="0"/>
              <w:autoSpaceDN w:val="0"/>
              <w:adjustRightInd w:val="0"/>
              <w:spacing w:after="0" w:line="240" w:lineRule="auto"/>
              <w:rPr>
                <w:rFonts w:ascii="DHPNGK+Arial,BoldItalic" w:hAnsi="DHPNGK+Arial,BoldItalic" w:cs="DHPNGK+Arial,BoldItalic"/>
                <w:color w:val="A6A6A6"/>
                <w:sz w:val="23"/>
                <w:szCs w:val="23"/>
                <w:lang w:eastAsia="de-DE"/>
              </w:rPr>
            </w:pPr>
          </w:p>
        </w:tc>
      </w:tr>
      <w:tr w:rsidR="00F96F1F" w:rsidRPr="00646AAA" w:rsidTr="00E55CB2">
        <w:trPr>
          <w:trHeight w:val="3453"/>
        </w:trPr>
        <w:tc>
          <w:tcPr>
            <w:tcW w:w="4880" w:type="dxa"/>
            <w:shd w:val="clear" w:color="auto" w:fill="auto"/>
          </w:tcPr>
          <w:p w:rsidR="00D21CD9" w:rsidRPr="00646AAA" w:rsidRDefault="007A42C7" w:rsidP="00B54DC6">
            <w:pPr>
              <w:autoSpaceDE w:val="0"/>
              <w:autoSpaceDN w:val="0"/>
              <w:adjustRightInd w:val="0"/>
              <w:spacing w:after="0" w:line="240" w:lineRule="auto"/>
              <w:rPr>
                <w:rFonts w:ascii="DHPNGK+Arial,BoldItalic" w:hAnsi="DHPNGK+Arial,BoldItalic" w:cs="DHPNGK+Arial,BoldItalic"/>
                <w:color w:val="A6A6A6"/>
                <w:sz w:val="23"/>
                <w:szCs w:val="23"/>
                <w:lang w:eastAsia="de-DE"/>
              </w:rPr>
            </w:pPr>
            <w:r w:rsidRPr="007A42C7">
              <w:rPr>
                <w:rFonts w:ascii="DHPNGK+Arial,BoldItalic" w:hAnsi="DHPNGK+Arial,BoldItalic" w:cs="DHPNGK+Arial,BoldItalic"/>
                <w:color w:val="A6A6A6"/>
                <w:sz w:val="23"/>
                <w:szCs w:val="23"/>
                <w:lang w:eastAsia="de-DE"/>
              </w:rPr>
              <w:drawing>
                <wp:inline distT="0" distB="0" distL="0" distR="0">
                  <wp:extent cx="2981325" cy="2287681"/>
                  <wp:effectExtent l="19050" t="0" r="9525" b="0"/>
                  <wp:docPr id="31"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880" w:type="dxa"/>
            <w:shd w:val="clear" w:color="auto" w:fill="auto"/>
          </w:tcPr>
          <w:p w:rsidR="00D21CD9" w:rsidRPr="00646AAA" w:rsidRDefault="007A42C7" w:rsidP="00B54DC6">
            <w:pPr>
              <w:autoSpaceDE w:val="0"/>
              <w:autoSpaceDN w:val="0"/>
              <w:adjustRightInd w:val="0"/>
              <w:spacing w:after="0" w:line="240" w:lineRule="auto"/>
              <w:jc w:val="center"/>
              <w:rPr>
                <w:rFonts w:ascii="DHPNGK+Arial,BoldItalic" w:hAnsi="DHPNGK+Arial,BoldItalic" w:cs="DHPNGK+Arial,BoldItalic"/>
                <w:color w:val="A6A6A6"/>
                <w:sz w:val="23"/>
                <w:szCs w:val="23"/>
                <w:lang w:eastAsia="de-DE"/>
              </w:rPr>
            </w:pPr>
            <w:r w:rsidRPr="007A42C7">
              <w:rPr>
                <w:rFonts w:ascii="DHPNGK+Arial,BoldItalic" w:hAnsi="DHPNGK+Arial,BoldItalic" w:cs="DHPNGK+Arial,BoldItalic"/>
                <w:color w:val="A6A6A6"/>
                <w:sz w:val="23"/>
                <w:szCs w:val="23"/>
                <w:lang w:eastAsia="de-DE"/>
              </w:rPr>
              <w:drawing>
                <wp:inline distT="0" distB="0" distL="0" distR="0">
                  <wp:extent cx="2971800" cy="2259106"/>
                  <wp:effectExtent l="19050" t="0" r="19050" b="7844"/>
                  <wp:docPr id="32"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F12A0" w:rsidRPr="00646AAA" w:rsidRDefault="005F12A0" w:rsidP="00D21CD9">
      <w:pPr>
        <w:autoSpaceDE w:val="0"/>
        <w:autoSpaceDN w:val="0"/>
        <w:adjustRightInd w:val="0"/>
        <w:spacing w:after="0" w:line="240" w:lineRule="auto"/>
        <w:rPr>
          <w:rFonts w:ascii="DHPNGK+Arial,BoldItalic" w:hAnsi="DHPNGK+Arial,BoldItalic" w:cs="DHPNGK+Arial,BoldItalic"/>
          <w:color w:val="A6A6A6"/>
          <w:sz w:val="23"/>
          <w:szCs w:val="23"/>
          <w:lang w:eastAsia="de-DE"/>
        </w:rPr>
      </w:pPr>
    </w:p>
    <w:p w:rsidR="00E55CB2" w:rsidRDefault="00E55CB2" w:rsidP="001B04F6">
      <w:pPr>
        <w:rPr>
          <w:rFonts w:ascii="Verdana" w:hAnsi="Verdana"/>
          <w:b/>
        </w:rPr>
      </w:pPr>
      <w:r w:rsidRPr="00E55CB2">
        <w:rPr>
          <w:rFonts w:ascii="Verdana" w:hAnsi="Verdana"/>
          <w:b/>
        </w:rPr>
        <w:drawing>
          <wp:inline distT="0" distB="0" distL="0" distR="0">
            <wp:extent cx="5762625" cy="2975610"/>
            <wp:effectExtent l="19050" t="0" r="9525" b="0"/>
            <wp:docPr id="36"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5CB2" w:rsidRDefault="00E55CB2" w:rsidP="001B04F6">
      <w:pPr>
        <w:rPr>
          <w:rFonts w:ascii="Verdana" w:hAnsi="Verdana"/>
          <w:b/>
        </w:rPr>
      </w:pPr>
    </w:p>
    <w:p w:rsidR="00E55CB2" w:rsidRPr="00FE6F3C" w:rsidRDefault="00E55CB2" w:rsidP="00E55CB2">
      <w:pPr>
        <w:rPr>
          <w:b/>
        </w:rPr>
      </w:pPr>
      <w:r w:rsidRPr="00FE6F3C">
        <w:rPr>
          <w:b/>
        </w:rPr>
        <w:lastRenderedPageBreak/>
        <w:t>Analyse der Ursachen unter Beachtung der Schwellenwerte und Vergleich zum Vorjahr</w:t>
      </w:r>
    </w:p>
    <w:p w:rsidR="00E55CB2" w:rsidRDefault="00E55CB2" w:rsidP="00E55CB2">
      <w:pPr>
        <w:pStyle w:val="StandardWeb"/>
        <w:spacing w:before="120" w:beforeAutospacing="0" w:after="0" w:afterAutospacing="0"/>
        <w:ind w:left="360" w:hanging="360"/>
        <w:rPr>
          <w:rFonts w:asciiTheme="minorHAnsi" w:hAnsiTheme="minorHAnsi" w:cs="Arial"/>
          <w:b/>
          <w:color w:val="000000"/>
          <w:sz w:val="22"/>
          <w:szCs w:val="22"/>
        </w:rPr>
      </w:pPr>
    </w:p>
    <w:p w:rsidR="00E55CB2" w:rsidRPr="00CD10A8" w:rsidRDefault="00E55CB2" w:rsidP="00E55CB2">
      <w:pPr>
        <w:pStyle w:val="StandardWeb"/>
        <w:spacing w:before="120" w:beforeAutospacing="0" w:after="0" w:afterAutospacing="0"/>
        <w:ind w:left="360" w:hanging="360"/>
        <w:rPr>
          <w:rFonts w:asciiTheme="minorHAnsi" w:hAnsiTheme="minorHAnsi" w:cs="Arial"/>
          <w:b/>
          <w:sz w:val="20"/>
          <w:szCs w:val="22"/>
        </w:rPr>
      </w:pPr>
      <w:r w:rsidRPr="00CD10A8">
        <w:rPr>
          <w:rFonts w:asciiTheme="minorHAnsi" w:hAnsiTheme="minorHAnsi" w:cs="Arial"/>
          <w:b/>
          <w:sz w:val="20"/>
          <w:szCs w:val="22"/>
        </w:rPr>
        <w:t>Schwellenwert alt: 35 %</w:t>
      </w:r>
    </w:p>
    <w:p w:rsidR="00E55CB2" w:rsidRPr="00CD10A8" w:rsidRDefault="00E55CB2" w:rsidP="00E55CB2">
      <w:pPr>
        <w:pStyle w:val="StandardWeb"/>
        <w:spacing w:before="120" w:beforeAutospacing="0" w:after="0" w:afterAutospacing="0"/>
        <w:ind w:left="360" w:hanging="360"/>
        <w:rPr>
          <w:rFonts w:asciiTheme="minorHAnsi" w:hAnsiTheme="minorHAnsi" w:cs="Arial"/>
          <w:color w:val="000000"/>
          <w:sz w:val="20"/>
          <w:szCs w:val="22"/>
        </w:rPr>
      </w:pPr>
      <w:r w:rsidRPr="00CD10A8">
        <w:rPr>
          <w:rFonts w:asciiTheme="minorHAnsi" w:hAnsiTheme="minorHAnsi" w:cs="Arial"/>
          <w:color w:val="000000"/>
          <w:sz w:val="20"/>
          <w:szCs w:val="22"/>
        </w:rPr>
        <w:t>Analyse:</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 xml:space="preserve">90 </w:t>
      </w:r>
      <w:proofErr w:type="spellStart"/>
      <w:r w:rsidRPr="00CD10A8">
        <w:rPr>
          <w:rFonts w:asciiTheme="minorHAnsi" w:hAnsiTheme="minorHAnsi" w:cs="Arial"/>
          <w:color w:val="000000"/>
          <w:sz w:val="20"/>
          <w:szCs w:val="22"/>
        </w:rPr>
        <w:t>SchülerInnen</w:t>
      </w:r>
      <w:proofErr w:type="spellEnd"/>
      <w:r w:rsidRPr="00CD10A8">
        <w:rPr>
          <w:rFonts w:asciiTheme="minorHAnsi" w:hAnsiTheme="minorHAnsi" w:cs="Arial"/>
          <w:color w:val="000000"/>
          <w:sz w:val="20"/>
          <w:szCs w:val="22"/>
        </w:rPr>
        <w:t xml:space="preserve"> waren in der Versetzungskonferenz. Davon sind 22 </w:t>
      </w:r>
      <w:proofErr w:type="spellStart"/>
      <w:r w:rsidRPr="00CD10A8">
        <w:rPr>
          <w:rFonts w:asciiTheme="minorHAnsi" w:hAnsiTheme="minorHAnsi" w:cs="Arial"/>
          <w:color w:val="000000"/>
          <w:sz w:val="20"/>
          <w:szCs w:val="22"/>
        </w:rPr>
        <w:t>SchülerInnen</w:t>
      </w:r>
      <w:proofErr w:type="spellEnd"/>
      <w:r w:rsidRPr="00CD10A8">
        <w:rPr>
          <w:rFonts w:asciiTheme="minorHAnsi" w:hAnsiTheme="minorHAnsi" w:cs="Arial"/>
          <w:color w:val="000000"/>
          <w:sz w:val="20"/>
          <w:szCs w:val="22"/>
        </w:rPr>
        <w:t>, etwa 24 %, nicht versetzt wo</w:t>
      </w:r>
      <w:r w:rsidRPr="00CD10A8">
        <w:rPr>
          <w:rFonts w:asciiTheme="minorHAnsi" w:hAnsiTheme="minorHAnsi" w:cs="Arial"/>
          <w:color w:val="000000"/>
          <w:sz w:val="20"/>
          <w:szCs w:val="22"/>
        </w:rPr>
        <w:t>r</w:t>
      </w:r>
      <w:r w:rsidRPr="00CD10A8">
        <w:rPr>
          <w:rFonts w:asciiTheme="minorHAnsi" w:hAnsiTheme="minorHAnsi" w:cs="Arial"/>
          <w:color w:val="000000"/>
          <w:sz w:val="20"/>
          <w:szCs w:val="22"/>
        </w:rPr>
        <w:t>den. Der Schwellenwert von 35 % ist damit deutlich unterschritten worden.</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Dennoch sind die Probleme  ähnlich gelagert wie in Klassenstufe 11, wenn es um die Prüfung geht. Es wird weite</w:t>
      </w:r>
      <w:r w:rsidRPr="00CD10A8">
        <w:rPr>
          <w:rFonts w:asciiTheme="minorHAnsi" w:hAnsiTheme="minorHAnsi" w:cs="Arial"/>
          <w:color w:val="000000"/>
          <w:sz w:val="20"/>
          <w:szCs w:val="22"/>
        </w:rPr>
        <w:t>r</w:t>
      </w:r>
      <w:r w:rsidRPr="00CD10A8">
        <w:rPr>
          <w:rFonts w:asciiTheme="minorHAnsi" w:hAnsiTheme="minorHAnsi" w:cs="Arial"/>
          <w:color w:val="000000"/>
          <w:sz w:val="20"/>
          <w:szCs w:val="22"/>
        </w:rPr>
        <w:t xml:space="preserve">hin immer wieder von Fachlehrern/innen bemängelt, </w:t>
      </w:r>
      <w:proofErr w:type="gramStart"/>
      <w:r w:rsidRPr="00CD10A8">
        <w:rPr>
          <w:rFonts w:asciiTheme="minorHAnsi" w:hAnsiTheme="minorHAnsi" w:cs="Arial"/>
          <w:color w:val="000000"/>
          <w:sz w:val="20"/>
          <w:szCs w:val="22"/>
        </w:rPr>
        <w:t>dass</w:t>
      </w:r>
      <w:proofErr w:type="gramEnd"/>
      <w:r w:rsidRPr="00CD10A8">
        <w:rPr>
          <w:rFonts w:asciiTheme="minorHAnsi" w:hAnsiTheme="minorHAnsi" w:cs="Arial"/>
          <w:color w:val="000000"/>
          <w:sz w:val="20"/>
          <w:szCs w:val="22"/>
        </w:rPr>
        <w:t xml:space="preserve"> die Vorkenntnisse sehr zu wünschen übrig lassen. Tests in einzelnen Klassen haben gezeigt, dass das Einstiegsniveau zu Beginn der Klasse 10, z.B. in M</w:t>
      </w:r>
      <w:r w:rsidRPr="00CD10A8">
        <w:rPr>
          <w:rFonts w:asciiTheme="minorHAnsi" w:hAnsiTheme="minorHAnsi" w:cs="Arial"/>
          <w:color w:val="000000"/>
          <w:sz w:val="20"/>
          <w:szCs w:val="22"/>
        </w:rPr>
        <w:t>a</w:t>
      </w:r>
      <w:r w:rsidRPr="00CD10A8">
        <w:rPr>
          <w:rFonts w:asciiTheme="minorHAnsi" w:hAnsiTheme="minorHAnsi" w:cs="Arial"/>
          <w:color w:val="000000"/>
          <w:sz w:val="20"/>
          <w:szCs w:val="22"/>
        </w:rPr>
        <w:t xml:space="preserve">thematik bei dem eines </w:t>
      </w:r>
      <w:proofErr w:type="spellStart"/>
      <w:r w:rsidRPr="00CD10A8">
        <w:rPr>
          <w:rFonts w:asciiTheme="minorHAnsi" w:hAnsiTheme="minorHAnsi" w:cs="Arial"/>
          <w:color w:val="000000"/>
          <w:sz w:val="20"/>
          <w:szCs w:val="22"/>
        </w:rPr>
        <w:t>Achtklässers</w:t>
      </w:r>
      <w:proofErr w:type="spellEnd"/>
      <w:r w:rsidRPr="00CD10A8">
        <w:rPr>
          <w:rFonts w:asciiTheme="minorHAnsi" w:hAnsiTheme="minorHAnsi" w:cs="Arial"/>
          <w:color w:val="000000"/>
          <w:sz w:val="20"/>
          <w:szCs w:val="22"/>
        </w:rPr>
        <w:t xml:space="preserve"> liegt. Die Problemfächer sind eindeutig die Prüfungsfächer, wobei der Schwerpunkt klassenind</w:t>
      </w:r>
      <w:r w:rsidRPr="00CD10A8">
        <w:rPr>
          <w:rFonts w:asciiTheme="minorHAnsi" w:hAnsiTheme="minorHAnsi" w:cs="Arial"/>
          <w:color w:val="000000"/>
          <w:sz w:val="20"/>
          <w:szCs w:val="22"/>
        </w:rPr>
        <w:t>i</w:t>
      </w:r>
      <w:r w:rsidRPr="00CD10A8">
        <w:rPr>
          <w:rFonts w:asciiTheme="minorHAnsi" w:hAnsiTheme="minorHAnsi" w:cs="Arial"/>
          <w:color w:val="000000"/>
          <w:sz w:val="20"/>
          <w:szCs w:val="22"/>
        </w:rPr>
        <w:t>viduell zu sehen ist.</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 xml:space="preserve">Es fällt auch im SJ 2017/18 auf, </w:t>
      </w:r>
      <w:proofErr w:type="gramStart"/>
      <w:r w:rsidRPr="00CD10A8">
        <w:rPr>
          <w:rFonts w:asciiTheme="minorHAnsi" w:hAnsiTheme="minorHAnsi" w:cs="Arial"/>
          <w:color w:val="000000"/>
          <w:sz w:val="20"/>
          <w:szCs w:val="22"/>
        </w:rPr>
        <w:t>dass</w:t>
      </w:r>
      <w:proofErr w:type="gramEnd"/>
      <w:r w:rsidRPr="00CD10A8">
        <w:rPr>
          <w:rFonts w:asciiTheme="minorHAnsi" w:hAnsiTheme="minorHAnsi" w:cs="Arial"/>
          <w:color w:val="000000"/>
          <w:sz w:val="20"/>
          <w:szCs w:val="22"/>
        </w:rPr>
        <w:t xml:space="preserve"> sehr viele Schüler und Schülerinnen große private Probleme, Verhaltensauffä</w:t>
      </w:r>
      <w:r w:rsidRPr="00CD10A8">
        <w:rPr>
          <w:rFonts w:asciiTheme="minorHAnsi" w:hAnsiTheme="minorHAnsi" w:cs="Arial"/>
          <w:color w:val="000000"/>
          <w:sz w:val="20"/>
          <w:szCs w:val="22"/>
        </w:rPr>
        <w:t>l</w:t>
      </w:r>
      <w:r w:rsidRPr="00CD10A8">
        <w:rPr>
          <w:rFonts w:asciiTheme="minorHAnsi" w:hAnsiTheme="minorHAnsi" w:cs="Arial"/>
          <w:color w:val="000000"/>
          <w:sz w:val="20"/>
          <w:szCs w:val="22"/>
        </w:rPr>
        <w:t>ligkeiten und andere Schwierigkeiten hatten. Einige von ihnen haben während des Schuljahres erkannt, dass die Handelsschule nicht die richtige Schule für sie ist und werden teilweise trotz Versetzung in eine duale Ausbildung wechseln.</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 xml:space="preserve">Darüber hinaus ist festzustellen, dass in einigen Fällen </w:t>
      </w:r>
      <w:proofErr w:type="spellStart"/>
      <w:r w:rsidRPr="00CD10A8">
        <w:rPr>
          <w:rFonts w:asciiTheme="minorHAnsi" w:hAnsiTheme="minorHAnsi" w:cs="Arial"/>
          <w:color w:val="000000"/>
          <w:sz w:val="20"/>
          <w:szCs w:val="22"/>
        </w:rPr>
        <w:t>SchülerInnen</w:t>
      </w:r>
      <w:proofErr w:type="spellEnd"/>
      <w:r w:rsidRPr="00CD10A8">
        <w:rPr>
          <w:rFonts w:asciiTheme="minorHAnsi" w:hAnsiTheme="minorHAnsi" w:cs="Arial"/>
          <w:color w:val="000000"/>
          <w:sz w:val="20"/>
          <w:szCs w:val="22"/>
        </w:rPr>
        <w:t xml:space="preserve"> in mehr als 3 Fächern Noten unter ausre</w:t>
      </w:r>
      <w:r w:rsidRPr="00CD10A8">
        <w:rPr>
          <w:rFonts w:asciiTheme="minorHAnsi" w:hAnsiTheme="minorHAnsi" w:cs="Arial"/>
          <w:color w:val="000000"/>
          <w:sz w:val="20"/>
          <w:szCs w:val="22"/>
        </w:rPr>
        <w:t>i</w:t>
      </w:r>
      <w:r w:rsidRPr="00CD10A8">
        <w:rPr>
          <w:rFonts w:asciiTheme="minorHAnsi" w:hAnsiTheme="minorHAnsi" w:cs="Arial"/>
          <w:color w:val="000000"/>
          <w:sz w:val="20"/>
          <w:szCs w:val="22"/>
        </w:rPr>
        <w:t>chend erhalten. Dies ist wohl auch einem frühzeitigen Resignieren in einem oder zwei Fächern geschuldet, sodass die Statistik hinsichtlich der Fächer, die zu einer Nichtversetzung führen, verfälscht sein kann.</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 xml:space="preserve">Außerdem bleibt festzuhalten, dass im SJ 17/18 14 </w:t>
      </w:r>
      <w:proofErr w:type="spellStart"/>
      <w:r w:rsidRPr="00CD10A8">
        <w:rPr>
          <w:rFonts w:asciiTheme="minorHAnsi" w:hAnsiTheme="minorHAnsi" w:cs="Arial"/>
          <w:color w:val="000000"/>
          <w:sz w:val="20"/>
          <w:szCs w:val="22"/>
        </w:rPr>
        <w:t>SchülerInnen</w:t>
      </w:r>
      <w:proofErr w:type="spellEnd"/>
      <w:r w:rsidRPr="00CD10A8">
        <w:rPr>
          <w:rFonts w:asciiTheme="minorHAnsi" w:hAnsiTheme="minorHAnsi" w:cs="Arial"/>
          <w:color w:val="000000"/>
          <w:sz w:val="20"/>
          <w:szCs w:val="22"/>
        </w:rPr>
        <w:t xml:space="preserve"> nach §4b </w:t>
      </w:r>
      <w:proofErr w:type="spellStart"/>
      <w:r w:rsidRPr="00CD10A8">
        <w:rPr>
          <w:rFonts w:asciiTheme="minorHAnsi" w:hAnsiTheme="minorHAnsi" w:cs="Arial"/>
          <w:color w:val="000000"/>
          <w:sz w:val="20"/>
          <w:szCs w:val="22"/>
        </w:rPr>
        <w:t>SchOG</w:t>
      </w:r>
      <w:proofErr w:type="spellEnd"/>
      <w:r w:rsidRPr="00CD10A8">
        <w:rPr>
          <w:rFonts w:asciiTheme="minorHAnsi" w:hAnsiTheme="minorHAnsi" w:cs="Arial"/>
          <w:color w:val="000000"/>
          <w:sz w:val="20"/>
          <w:szCs w:val="22"/>
        </w:rPr>
        <w:t xml:space="preserve"> (Schüler mit Problemen in der deutschen Sprache) in der Handelsschule integrativ unterrichtet wurden. Ziel war hierbei, die Sprachkenn</w:t>
      </w:r>
      <w:r w:rsidRPr="00CD10A8">
        <w:rPr>
          <w:rFonts w:asciiTheme="minorHAnsi" w:hAnsiTheme="minorHAnsi" w:cs="Arial"/>
          <w:color w:val="000000"/>
          <w:sz w:val="20"/>
          <w:szCs w:val="22"/>
        </w:rPr>
        <w:t>t</w:t>
      </w:r>
      <w:r w:rsidRPr="00CD10A8">
        <w:rPr>
          <w:rFonts w:asciiTheme="minorHAnsi" w:hAnsiTheme="minorHAnsi" w:cs="Arial"/>
          <w:color w:val="000000"/>
          <w:sz w:val="20"/>
          <w:szCs w:val="22"/>
        </w:rPr>
        <w:t>nisse der betroffenen Schüler zu verbessern. Teilweise haben die Schüler die Handelsschule während des Schu</w:t>
      </w:r>
      <w:r w:rsidRPr="00CD10A8">
        <w:rPr>
          <w:rFonts w:asciiTheme="minorHAnsi" w:hAnsiTheme="minorHAnsi" w:cs="Arial"/>
          <w:color w:val="000000"/>
          <w:sz w:val="20"/>
          <w:szCs w:val="22"/>
        </w:rPr>
        <w:t>l</w:t>
      </w:r>
      <w:r w:rsidRPr="00CD10A8">
        <w:rPr>
          <w:rFonts w:asciiTheme="minorHAnsi" w:hAnsiTheme="minorHAnsi" w:cs="Arial"/>
          <w:color w:val="000000"/>
          <w:sz w:val="20"/>
          <w:szCs w:val="22"/>
        </w:rPr>
        <w:t>jahres verlassen. Andere werden im SJ 18/19 die Unterstufe wiederholen und einige werden in die Oberstufe versetzt.</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 xml:space="preserve">Weiterhin bleibt festzustellen, dass die abgebenden Schulen bemüht sind, möglichst viele </w:t>
      </w:r>
      <w:proofErr w:type="spellStart"/>
      <w:r w:rsidRPr="00CD10A8">
        <w:rPr>
          <w:rFonts w:asciiTheme="minorHAnsi" w:hAnsiTheme="minorHAnsi" w:cs="Arial"/>
          <w:color w:val="000000"/>
          <w:sz w:val="20"/>
          <w:szCs w:val="22"/>
        </w:rPr>
        <w:t>SchülerInnen</w:t>
      </w:r>
      <w:proofErr w:type="spellEnd"/>
      <w:r w:rsidRPr="00CD10A8">
        <w:rPr>
          <w:rFonts w:asciiTheme="minorHAnsi" w:hAnsiTheme="minorHAnsi" w:cs="Arial"/>
          <w:color w:val="000000"/>
          <w:sz w:val="20"/>
          <w:szCs w:val="22"/>
        </w:rPr>
        <w:t xml:space="preserve"> im eigenen System zu halten, sodass überwiegend leistungsschwache </w:t>
      </w:r>
      <w:proofErr w:type="spellStart"/>
      <w:r w:rsidRPr="00CD10A8">
        <w:rPr>
          <w:rFonts w:asciiTheme="minorHAnsi" w:hAnsiTheme="minorHAnsi" w:cs="Arial"/>
          <w:color w:val="000000"/>
          <w:sz w:val="20"/>
          <w:szCs w:val="22"/>
        </w:rPr>
        <w:t>SchülerInnen</w:t>
      </w:r>
      <w:proofErr w:type="spellEnd"/>
      <w:r w:rsidRPr="00CD10A8">
        <w:rPr>
          <w:rFonts w:asciiTheme="minorHAnsi" w:hAnsiTheme="minorHAnsi" w:cs="Arial"/>
          <w:color w:val="000000"/>
          <w:sz w:val="20"/>
          <w:szCs w:val="22"/>
        </w:rPr>
        <w:t xml:space="preserve"> in der Unterstufe in der Ha</w:t>
      </w:r>
      <w:r w:rsidRPr="00CD10A8">
        <w:rPr>
          <w:rFonts w:asciiTheme="minorHAnsi" w:hAnsiTheme="minorHAnsi" w:cs="Arial"/>
          <w:color w:val="000000"/>
          <w:sz w:val="20"/>
          <w:szCs w:val="22"/>
        </w:rPr>
        <w:t>n</w:t>
      </w:r>
      <w:r w:rsidRPr="00CD10A8">
        <w:rPr>
          <w:rFonts w:asciiTheme="minorHAnsi" w:hAnsiTheme="minorHAnsi" w:cs="Arial"/>
          <w:color w:val="000000"/>
          <w:sz w:val="20"/>
          <w:szCs w:val="22"/>
        </w:rPr>
        <w:t>delsschule eingeschult werden.</w:t>
      </w:r>
    </w:p>
    <w:p w:rsidR="00E55CB2" w:rsidRPr="00CD10A8" w:rsidRDefault="00E55CB2" w:rsidP="00E55CB2">
      <w:pPr>
        <w:pStyle w:val="StandardWeb"/>
        <w:spacing w:before="12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120" w:beforeAutospacing="0" w:after="0" w:afterAutospacing="0" w:line="360" w:lineRule="auto"/>
        <w:ind w:left="360" w:hanging="360"/>
        <w:jc w:val="both"/>
        <w:rPr>
          <w:rFonts w:asciiTheme="minorHAnsi" w:hAnsiTheme="minorHAnsi" w:cs="Arial"/>
          <w:b/>
          <w:color w:val="000000"/>
          <w:sz w:val="20"/>
          <w:szCs w:val="22"/>
        </w:rPr>
      </w:pPr>
      <w:r w:rsidRPr="00CD10A8">
        <w:rPr>
          <w:rFonts w:asciiTheme="minorHAnsi" w:hAnsiTheme="minorHAnsi" w:cs="Arial"/>
          <w:b/>
          <w:color w:val="000000"/>
          <w:sz w:val="20"/>
          <w:szCs w:val="22"/>
        </w:rPr>
        <w:t>Maßnahmen:</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Es wird auch in der Unterstufe versucht, die Klassengrößen weiterhin in einem erträglichen Maß für alle Seiten zu halten, um eine angemessenes Arbeitsarbeitsumfeld zu generieren.</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 xml:space="preserve">Ein Sozialarbeiter wird weiterhin die Klassenlehrer/-innen bei ihrer Arbeit im privaten Umfeld der </w:t>
      </w:r>
      <w:proofErr w:type="spellStart"/>
      <w:r w:rsidRPr="00CD10A8">
        <w:rPr>
          <w:rFonts w:asciiTheme="minorHAnsi" w:hAnsiTheme="minorHAnsi" w:cs="Arial"/>
          <w:color w:val="000000"/>
          <w:sz w:val="20"/>
          <w:szCs w:val="22"/>
        </w:rPr>
        <w:t>SchülerInnen</w:t>
      </w:r>
      <w:proofErr w:type="spellEnd"/>
      <w:r w:rsidRPr="00CD10A8">
        <w:rPr>
          <w:rFonts w:asciiTheme="minorHAnsi" w:hAnsiTheme="minorHAnsi" w:cs="Arial"/>
          <w:color w:val="000000"/>
          <w:sz w:val="20"/>
          <w:szCs w:val="22"/>
        </w:rPr>
        <w:t xml:space="preserve"> unterstützen. Diese Arbeit ist mittlerweile kaum mehr von einem Klassenlehrer alleine innerhalb der vorges</w:t>
      </w:r>
      <w:r w:rsidRPr="00CD10A8">
        <w:rPr>
          <w:rFonts w:asciiTheme="minorHAnsi" w:hAnsiTheme="minorHAnsi" w:cs="Arial"/>
          <w:color w:val="000000"/>
          <w:sz w:val="20"/>
          <w:szCs w:val="22"/>
        </w:rPr>
        <w:t>e</w:t>
      </w:r>
      <w:r w:rsidRPr="00CD10A8">
        <w:rPr>
          <w:rFonts w:asciiTheme="minorHAnsi" w:hAnsiTheme="minorHAnsi" w:cs="Arial"/>
          <w:color w:val="000000"/>
          <w:sz w:val="20"/>
          <w:szCs w:val="22"/>
        </w:rPr>
        <w:t>henen Arbeitszeit zu leisten.</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r w:rsidRPr="00CD10A8">
        <w:rPr>
          <w:rFonts w:asciiTheme="minorHAnsi" w:hAnsiTheme="minorHAnsi" w:cs="Arial"/>
          <w:color w:val="000000"/>
          <w:sz w:val="20"/>
          <w:szCs w:val="22"/>
        </w:rPr>
        <w:t>Nach Maßgabe freier Personalkapazitäten sollte die fünfte Stunde Fremdsprache, Deutsch und evtl. auch eine fünfte Stunde Mathematik angeboten werden, da diese die Problemfächer sind.</w:t>
      </w:r>
    </w:p>
    <w:p w:rsidR="00E55CB2" w:rsidRPr="00CD10A8" w:rsidRDefault="00E55CB2" w:rsidP="00E55CB2">
      <w:pPr>
        <w:pStyle w:val="StandardWeb"/>
        <w:spacing w:before="0" w:beforeAutospacing="0" w:after="0" w:afterAutospacing="0"/>
        <w:jc w:val="both"/>
        <w:rPr>
          <w:rFonts w:asciiTheme="minorHAnsi" w:hAnsiTheme="minorHAnsi" w:cs="Arial"/>
          <w:color w:val="000000"/>
          <w:sz w:val="20"/>
          <w:szCs w:val="22"/>
        </w:rPr>
      </w:pPr>
    </w:p>
    <w:p w:rsidR="00E55CB2" w:rsidRPr="00CD10A8" w:rsidRDefault="00E55CB2" w:rsidP="00E55CB2">
      <w:pPr>
        <w:pStyle w:val="StandardWeb"/>
        <w:spacing w:before="120" w:beforeAutospacing="0" w:after="0" w:afterAutospacing="0"/>
        <w:jc w:val="both"/>
        <w:rPr>
          <w:rFonts w:asciiTheme="minorHAnsi" w:hAnsiTheme="minorHAnsi" w:cs="Arial"/>
          <w:b/>
          <w:sz w:val="20"/>
          <w:szCs w:val="22"/>
        </w:rPr>
      </w:pPr>
      <w:r w:rsidRPr="00CD10A8">
        <w:rPr>
          <w:rFonts w:asciiTheme="minorHAnsi" w:hAnsiTheme="minorHAnsi" w:cs="Arial"/>
          <w:b/>
          <w:sz w:val="20"/>
          <w:szCs w:val="22"/>
        </w:rPr>
        <w:t>Schwellenwert neu: 30 %</w:t>
      </w:r>
      <w:bookmarkStart w:id="0" w:name="_GoBack"/>
      <w:bookmarkEnd w:id="0"/>
    </w:p>
    <w:p w:rsidR="00E55CB2" w:rsidRPr="00CD10A8" w:rsidRDefault="00E55CB2" w:rsidP="00E55CB2">
      <w:pPr>
        <w:pStyle w:val="StandardWeb"/>
        <w:spacing w:before="120" w:beforeAutospacing="0" w:after="0" w:afterAutospacing="0"/>
        <w:jc w:val="both"/>
        <w:rPr>
          <w:rFonts w:ascii="Arial" w:hAnsi="Arial" w:cs="Arial"/>
          <w:color w:val="000000"/>
          <w:sz w:val="20"/>
          <w:szCs w:val="22"/>
        </w:rPr>
      </w:pPr>
    </w:p>
    <w:p w:rsidR="00E55CB2" w:rsidRDefault="00E55CB2" w:rsidP="001B04F6">
      <w:pPr>
        <w:rPr>
          <w:rFonts w:ascii="Verdana" w:hAnsi="Verdana"/>
          <w:b/>
        </w:rPr>
      </w:pPr>
    </w:p>
    <w:sectPr w:rsidR="00E55CB2" w:rsidSect="00A27CFD">
      <w:headerReference w:type="default" r:id="rId21"/>
      <w:pgSz w:w="11906" w:h="16838"/>
      <w:pgMar w:top="2442" w:right="1133"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C2" w:rsidRDefault="006777C2" w:rsidP="004D61D5">
      <w:pPr>
        <w:spacing w:after="0" w:line="240" w:lineRule="auto"/>
      </w:pPr>
      <w:r>
        <w:separator/>
      </w:r>
    </w:p>
  </w:endnote>
  <w:endnote w:type="continuationSeparator" w:id="0">
    <w:p w:rsidR="006777C2" w:rsidRDefault="006777C2" w:rsidP="004D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HPNGK+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C2" w:rsidRDefault="006777C2" w:rsidP="004D61D5">
      <w:pPr>
        <w:spacing w:after="0" w:line="240" w:lineRule="auto"/>
      </w:pPr>
      <w:r>
        <w:separator/>
      </w:r>
    </w:p>
  </w:footnote>
  <w:footnote w:type="continuationSeparator" w:id="0">
    <w:p w:rsidR="006777C2" w:rsidRDefault="006777C2" w:rsidP="004D6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D5" w:rsidRPr="00067AAF" w:rsidRDefault="00C878AF" w:rsidP="00067AAF">
    <w:pPr>
      <w:pStyle w:val="Kopfzeile"/>
    </w:pPr>
    <w:r>
      <w:rPr>
        <w:noProof/>
        <w:lang w:eastAsia="de-DE"/>
      </w:rPr>
      <w:drawing>
        <wp:anchor distT="0" distB="0" distL="114300" distR="114300" simplePos="0" relativeHeight="251658240" behindDoc="0" locked="0" layoutInCell="1" allowOverlap="1">
          <wp:simplePos x="0" y="0"/>
          <wp:positionH relativeFrom="margin">
            <wp:posOffset>-603885</wp:posOffset>
          </wp:positionH>
          <wp:positionV relativeFrom="margin">
            <wp:posOffset>-1443355</wp:posOffset>
          </wp:positionV>
          <wp:extent cx="6855460" cy="1236345"/>
          <wp:effectExtent l="0" t="0" r="2540" b="1905"/>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5460" cy="1236345"/>
                  </a:xfrm>
                  <a:prstGeom prst="rect">
                    <a:avLst/>
                  </a:prstGeom>
                  <a:noFill/>
                  <a:ln>
                    <a:noFill/>
                  </a:ln>
                </pic:spPr>
              </pic:pic>
            </a:graphicData>
          </a:graphic>
        </wp:anchor>
      </w:drawing>
    </w:r>
  </w:p>
  <w:p w:rsidR="00F42837" w:rsidRDefault="00430A9C">
    <w:r>
      <w:rPr>
        <w:noProof/>
        <w:lang w:eastAsia="de-DE"/>
      </w:rPr>
      <w:pict>
        <v:shapetype id="_x0000_t202" coordsize="21600,21600" o:spt="202" path="m,l,21600r21600,l21600,xe">
          <v:stroke joinstyle="miter"/>
          <v:path gradientshapeok="t" o:connecttype="rect"/>
        </v:shapetype>
        <v:shape id="Text Box 5" o:spid="_x0000_s9217" type="#_x0000_t202" style="position:absolute;margin-left:-41.15pt;margin-top:40.15pt;width:550.5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I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" stroked="f">
          <v:textbox>
            <w:txbxContent>
              <w:p w:rsidR="00067AAF" w:rsidRPr="004F3D84" w:rsidRDefault="00067AAF" w:rsidP="00067AAF">
                <w:pPr>
                  <w:rPr>
                    <w:color w:val="1F497D"/>
                    <w:sz w:val="32"/>
                    <w:szCs w:val="32"/>
                  </w:rPr>
                </w:pPr>
                <w:r w:rsidRPr="004F3D84">
                  <w:rPr>
                    <w:color w:val="1F497D"/>
                    <w:sz w:val="32"/>
                    <w:szCs w:val="32"/>
                  </w:rPr>
                  <w:t xml:space="preserve">KBBZ Saarlouis  -  </w:t>
                </w:r>
                <w:r>
                  <w:rPr>
                    <w:color w:val="1F497D"/>
                    <w:sz w:val="32"/>
                    <w:szCs w:val="32"/>
                  </w:rPr>
                  <w:t xml:space="preserve">Nichtversetzungen </w:t>
                </w:r>
                <w:r w:rsidRPr="004F3D84">
                  <w:rPr>
                    <w:color w:val="1F497D"/>
                    <w:sz w:val="32"/>
                    <w:szCs w:val="32"/>
                  </w:rPr>
                  <w:t xml:space="preserve"> Schuljahr 201</w:t>
                </w:r>
                <w:r w:rsidR="00E95E81">
                  <w:rPr>
                    <w:color w:val="1F497D"/>
                    <w:sz w:val="32"/>
                    <w:szCs w:val="32"/>
                  </w:rPr>
                  <w:t>7</w:t>
                </w:r>
                <w:r w:rsidRPr="004F3D84">
                  <w:rPr>
                    <w:color w:val="1F497D"/>
                    <w:sz w:val="32"/>
                    <w:szCs w:val="32"/>
                  </w:rPr>
                  <w:t>/201</w:t>
                </w:r>
                <w:r w:rsidR="00E95E81">
                  <w:rPr>
                    <w:color w:val="1F497D"/>
                    <w:sz w:val="32"/>
                    <w:szCs w:val="32"/>
                  </w:rPr>
                  <w:t>8</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93CEE"/>
    <w:multiLevelType w:val="hybridMultilevel"/>
    <w:tmpl w:val="6BB44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DB1498"/>
    <w:rsid w:val="00067AAF"/>
    <w:rsid w:val="000D0FE8"/>
    <w:rsid w:val="00117650"/>
    <w:rsid w:val="00134D1B"/>
    <w:rsid w:val="001B04F6"/>
    <w:rsid w:val="00202236"/>
    <w:rsid w:val="002433C0"/>
    <w:rsid w:val="002638A6"/>
    <w:rsid w:val="002B28FE"/>
    <w:rsid w:val="003478FF"/>
    <w:rsid w:val="003A5013"/>
    <w:rsid w:val="00410D63"/>
    <w:rsid w:val="00430A9C"/>
    <w:rsid w:val="00455ED8"/>
    <w:rsid w:val="00461749"/>
    <w:rsid w:val="0048312E"/>
    <w:rsid w:val="004C1366"/>
    <w:rsid w:val="004D61D5"/>
    <w:rsid w:val="00523A4D"/>
    <w:rsid w:val="00556CE7"/>
    <w:rsid w:val="00594382"/>
    <w:rsid w:val="005A2376"/>
    <w:rsid w:val="005F12A0"/>
    <w:rsid w:val="00646AAA"/>
    <w:rsid w:val="006777C2"/>
    <w:rsid w:val="00691A71"/>
    <w:rsid w:val="006D7029"/>
    <w:rsid w:val="00727521"/>
    <w:rsid w:val="00771764"/>
    <w:rsid w:val="007877ED"/>
    <w:rsid w:val="007A42C7"/>
    <w:rsid w:val="007E7FBB"/>
    <w:rsid w:val="00841699"/>
    <w:rsid w:val="00993C32"/>
    <w:rsid w:val="009E05E3"/>
    <w:rsid w:val="00A27CFD"/>
    <w:rsid w:val="00A409A0"/>
    <w:rsid w:val="00A41709"/>
    <w:rsid w:val="00A718D8"/>
    <w:rsid w:val="00A8199A"/>
    <w:rsid w:val="00A819A5"/>
    <w:rsid w:val="00B54DC6"/>
    <w:rsid w:val="00B91058"/>
    <w:rsid w:val="00BE5E97"/>
    <w:rsid w:val="00C878AF"/>
    <w:rsid w:val="00D113B8"/>
    <w:rsid w:val="00D21CD9"/>
    <w:rsid w:val="00DB1498"/>
    <w:rsid w:val="00DC2EB0"/>
    <w:rsid w:val="00E147CD"/>
    <w:rsid w:val="00E55CB2"/>
    <w:rsid w:val="00E95E81"/>
    <w:rsid w:val="00EC5DD0"/>
    <w:rsid w:val="00F42837"/>
    <w:rsid w:val="00F638CC"/>
    <w:rsid w:val="00F96F1F"/>
    <w:rsid w:val="00FC6813"/>
    <w:rsid w:val="00FF5E6A"/>
    <w:rsid w:val="00FF6A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A9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B1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4D61D5"/>
    <w:pPr>
      <w:tabs>
        <w:tab w:val="center" w:pos="4536"/>
        <w:tab w:val="right" w:pos="9072"/>
      </w:tabs>
    </w:pPr>
  </w:style>
  <w:style w:type="character" w:customStyle="1" w:styleId="KopfzeileZchn">
    <w:name w:val="Kopfzeile Zchn"/>
    <w:link w:val="Kopfzeile"/>
    <w:uiPriority w:val="99"/>
    <w:rsid w:val="004D61D5"/>
    <w:rPr>
      <w:sz w:val="22"/>
      <w:szCs w:val="22"/>
      <w:lang w:eastAsia="en-US"/>
    </w:rPr>
  </w:style>
  <w:style w:type="paragraph" w:styleId="Fuzeile">
    <w:name w:val="footer"/>
    <w:basedOn w:val="Standard"/>
    <w:link w:val="FuzeileZchn"/>
    <w:uiPriority w:val="99"/>
    <w:unhideWhenUsed/>
    <w:rsid w:val="004D61D5"/>
    <w:pPr>
      <w:tabs>
        <w:tab w:val="center" w:pos="4536"/>
        <w:tab w:val="right" w:pos="9072"/>
      </w:tabs>
    </w:pPr>
  </w:style>
  <w:style w:type="character" w:customStyle="1" w:styleId="FuzeileZchn">
    <w:name w:val="Fußzeile Zchn"/>
    <w:link w:val="Fuzeile"/>
    <w:uiPriority w:val="99"/>
    <w:rsid w:val="004D61D5"/>
    <w:rPr>
      <w:sz w:val="22"/>
      <w:szCs w:val="22"/>
      <w:lang w:eastAsia="en-US"/>
    </w:rPr>
  </w:style>
  <w:style w:type="paragraph" w:styleId="Listenabsatz">
    <w:name w:val="List Paragraph"/>
    <w:basedOn w:val="Standard"/>
    <w:uiPriority w:val="34"/>
    <w:qFormat/>
    <w:rsid w:val="002433C0"/>
    <w:pPr>
      <w:ind w:left="720"/>
      <w:contextualSpacing/>
    </w:pPr>
  </w:style>
  <w:style w:type="paragraph" w:styleId="StandardWeb">
    <w:name w:val="Normal (Web)"/>
    <w:basedOn w:val="Standard"/>
    <w:semiHidden/>
    <w:rsid w:val="00523A4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1B04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B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61D5"/>
    <w:pPr>
      <w:tabs>
        <w:tab w:val="center" w:pos="4536"/>
        <w:tab w:val="right" w:pos="9072"/>
      </w:tabs>
    </w:pPr>
  </w:style>
  <w:style w:type="character" w:customStyle="1" w:styleId="KopfzeileZchn">
    <w:name w:val="Kopfzeile Zchn"/>
    <w:link w:val="Kopfzeile"/>
    <w:uiPriority w:val="99"/>
    <w:rsid w:val="004D61D5"/>
    <w:rPr>
      <w:sz w:val="22"/>
      <w:szCs w:val="22"/>
      <w:lang w:eastAsia="en-US"/>
    </w:rPr>
  </w:style>
  <w:style w:type="paragraph" w:styleId="Fuzeile">
    <w:name w:val="footer"/>
    <w:basedOn w:val="Standard"/>
    <w:link w:val="FuzeileZchn"/>
    <w:uiPriority w:val="99"/>
    <w:unhideWhenUsed/>
    <w:rsid w:val="004D61D5"/>
    <w:pPr>
      <w:tabs>
        <w:tab w:val="center" w:pos="4536"/>
        <w:tab w:val="right" w:pos="9072"/>
      </w:tabs>
    </w:pPr>
  </w:style>
  <w:style w:type="character" w:customStyle="1" w:styleId="FuzeileZchn">
    <w:name w:val="Fußzeile Zchn"/>
    <w:link w:val="Fuzeile"/>
    <w:uiPriority w:val="99"/>
    <w:rsid w:val="004D61D5"/>
    <w:rPr>
      <w:sz w:val="22"/>
      <w:szCs w:val="22"/>
      <w:lang w:eastAsia="en-US"/>
    </w:rPr>
  </w:style>
  <w:style w:type="paragraph" w:styleId="Listenabsatz">
    <w:name w:val="List Paragraph"/>
    <w:basedOn w:val="Standard"/>
    <w:uiPriority w:val="34"/>
    <w:qFormat/>
    <w:rsid w:val="002433C0"/>
    <w:pPr>
      <w:ind w:left="720"/>
      <w:contextualSpacing/>
    </w:pPr>
  </w:style>
  <w:style w:type="paragraph" w:styleId="StandardWeb">
    <w:name w:val="Normal (Web)"/>
    <w:basedOn w:val="Standard"/>
    <w:semiHidden/>
    <w:rsid w:val="00523A4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1B04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01838461">
      <w:bodyDiv w:val="1"/>
      <w:marLeft w:val="0"/>
      <w:marRight w:val="0"/>
      <w:marTop w:val="0"/>
      <w:marBottom w:val="0"/>
      <w:divBdr>
        <w:top w:val="none" w:sz="0" w:space="0" w:color="auto"/>
        <w:left w:val="none" w:sz="0" w:space="0" w:color="auto"/>
        <w:bottom w:val="none" w:sz="0" w:space="0" w:color="auto"/>
        <w:right w:val="none" w:sz="0" w:space="0" w:color="auto"/>
      </w:divBdr>
    </w:div>
    <w:div w:id="676007757">
      <w:bodyDiv w:val="1"/>
      <w:marLeft w:val="0"/>
      <w:marRight w:val="0"/>
      <w:marTop w:val="0"/>
      <w:marBottom w:val="0"/>
      <w:divBdr>
        <w:top w:val="none" w:sz="0" w:space="0" w:color="auto"/>
        <w:left w:val="none" w:sz="0" w:space="0" w:color="auto"/>
        <w:bottom w:val="none" w:sz="0" w:space="0" w:color="auto"/>
        <w:right w:val="none" w:sz="0" w:space="0" w:color="auto"/>
      </w:divBdr>
    </w:div>
    <w:div w:id="827941852">
      <w:bodyDiv w:val="1"/>
      <w:marLeft w:val="0"/>
      <w:marRight w:val="0"/>
      <w:marTop w:val="0"/>
      <w:marBottom w:val="0"/>
      <w:divBdr>
        <w:top w:val="none" w:sz="0" w:space="0" w:color="auto"/>
        <w:left w:val="none" w:sz="0" w:space="0" w:color="auto"/>
        <w:bottom w:val="none" w:sz="0" w:space="0" w:color="auto"/>
        <w:right w:val="none" w:sz="0" w:space="0" w:color="auto"/>
      </w:divBdr>
    </w:div>
    <w:div w:id="1279021088">
      <w:bodyDiv w:val="1"/>
      <w:marLeft w:val="0"/>
      <w:marRight w:val="0"/>
      <w:marTop w:val="0"/>
      <w:marBottom w:val="0"/>
      <w:divBdr>
        <w:top w:val="none" w:sz="0" w:space="0" w:color="auto"/>
        <w:left w:val="none" w:sz="0" w:space="0" w:color="auto"/>
        <w:bottom w:val="none" w:sz="0" w:space="0" w:color="auto"/>
        <w:right w:val="none" w:sz="0" w:space="0" w:color="auto"/>
      </w:divBdr>
    </w:div>
    <w:div w:id="1498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Kopie%20von%20Statistik%20Bemerkungen%20FOS%20JZ%202017,2018%20Q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QM_Statistik_HS_Nichtversetzung%202017_1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QM_Statistik_HS_Nichtversetzung%202017_18.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QM_Statistik_HS_Nichtversetzung%202017_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Kopie%20von%20Statistik%20Bemerkungen%20FOS%20JZ%202017,2018%20Q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Kopie%20von%20Statistik%20Bemerkungen%20FOS%20JZ%202017,2018%20Q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Kopie%20von%20Statistik%20Bemerkungen%20FOS%20JZ%202017,2018%20Q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Kopie%20von%20Statistik%20Bemerkungen%20FOS%20JZ%202017,2018%20Q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Kopie%20von%20Statistik%20Bemerkungen%20FOS%20JZ%202017,2018%20Q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Kopie%20von%20Statistik%20Bemerkungen%20FOS%20JZ%202017,2018%20Q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QM_Statistik_HS_Nichtversetzung%202017_1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Managementbewertungen%20DIN%209001_2015\Managementbewertung%202017_18\QM_Statistik_HS_Nichtversetzung%202017_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de-DE"/>
              <a:t>FO11A1/Nichtversetzung/Fächer</a:t>
            </a:r>
          </a:p>
        </c:rich>
      </c:tx>
      <c:layout>
        <c:manualLayout>
          <c:xMode val="edge"/>
          <c:yMode val="edge"/>
          <c:x val="0.15415061259635041"/>
          <c:y val="5.0632911392405111E-2"/>
        </c:manualLayout>
      </c:layout>
      <c:spPr>
        <a:noFill/>
        <a:ln w="25400">
          <a:noFill/>
        </a:ln>
      </c:spPr>
    </c:title>
    <c:plotArea>
      <c:layout>
        <c:manualLayout>
          <c:layoutTarget val="inner"/>
          <c:xMode val="edge"/>
          <c:yMode val="edge"/>
          <c:x val="9.8814419957425001E-2"/>
          <c:y val="0.31012658227848156"/>
          <c:w val="0.8458514348355578"/>
          <c:h val="0.48101265822784867"/>
        </c:manualLayout>
      </c:layout>
      <c:barChart>
        <c:barDir val="col"/>
        <c:grouping val="stacked"/>
        <c:ser>
          <c:idx val="0"/>
          <c:order val="0"/>
          <c:cat>
            <c:strRef>
              <c:f>'Nichtversetz. Fach Statistik'!$A$4:$A$10</c:f>
              <c:strCache>
                <c:ptCount val="7"/>
                <c:pt idx="0">
                  <c:v>DE</c:v>
                </c:pt>
                <c:pt idx="1">
                  <c:v>FRZ</c:v>
                </c:pt>
                <c:pt idx="2">
                  <c:v>MAT</c:v>
                </c:pt>
                <c:pt idx="3">
                  <c:v>BWL</c:v>
                </c:pt>
                <c:pt idx="4">
                  <c:v>REWE</c:v>
                </c:pt>
                <c:pt idx="5">
                  <c:v>RK</c:v>
                </c:pt>
                <c:pt idx="6">
                  <c:v>VWL</c:v>
                </c:pt>
              </c:strCache>
            </c:strRef>
          </c:cat>
          <c:val>
            <c:numRef>
              <c:f>'Nichtversetz. Fach Statistik'!$B$4:$B$10</c:f>
              <c:numCache>
                <c:formatCode>General</c:formatCode>
                <c:ptCount val="7"/>
                <c:pt idx="0">
                  <c:v>1</c:v>
                </c:pt>
                <c:pt idx="1">
                  <c:v>1</c:v>
                </c:pt>
                <c:pt idx="2">
                  <c:v>0</c:v>
                </c:pt>
                <c:pt idx="3">
                  <c:v>0</c:v>
                </c:pt>
                <c:pt idx="4">
                  <c:v>0</c:v>
                </c:pt>
                <c:pt idx="5">
                  <c:v>0</c:v>
                </c:pt>
                <c:pt idx="6">
                  <c:v>0</c:v>
                </c:pt>
              </c:numCache>
            </c:numRef>
          </c:val>
        </c:ser>
        <c:overlap val="100"/>
        <c:axId val="105774080"/>
        <c:axId val="105792256"/>
      </c:barChart>
      <c:catAx>
        <c:axId val="105774080"/>
        <c:scaling>
          <c:orientation val="minMax"/>
        </c:scaling>
        <c:axPos val="b"/>
        <c:numFmt formatCode="General" sourceLinked="1"/>
        <c:tickLblPos val="nextTo"/>
        <c:spPr>
          <a:ln w="3175">
            <a:solidFill>
              <a:srgbClr val="000000"/>
            </a:solidFill>
            <a:prstDash val="solid"/>
          </a:ln>
        </c:spPr>
        <c:txPr>
          <a:bodyPr rot="0" vert="horz"/>
          <a:lstStyle/>
          <a:p>
            <a:pPr>
              <a:defRPr/>
            </a:pPr>
            <a:endParaRPr lang="de-DE"/>
          </a:p>
        </c:txPr>
        <c:crossAx val="105792256"/>
        <c:crosses val="autoZero"/>
        <c:auto val="1"/>
        <c:lblAlgn val="ctr"/>
        <c:lblOffset val="100"/>
      </c:catAx>
      <c:valAx>
        <c:axId val="105792256"/>
        <c:scaling>
          <c:orientation val="minMax"/>
          <c:max val="4"/>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de-DE"/>
          </a:p>
        </c:txPr>
        <c:crossAx val="105774080"/>
        <c:crosses val="autoZero"/>
        <c:crossBetween val="between"/>
        <c:majorUnit val="1"/>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de-DE"/>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sz="800" b="1" i="0" u="none" strike="noStrike" baseline="0">
                <a:solidFill>
                  <a:srgbClr val="000000"/>
                </a:solidFill>
                <a:latin typeface="Arial"/>
                <a:ea typeface="Arial"/>
                <a:cs typeface="Arial"/>
              </a:defRPr>
            </a:pPr>
            <a:r>
              <a:rPr lang="de-DE"/>
              <a:t>H10c/Nichtversetzung/Fächer</a:t>
            </a:r>
          </a:p>
        </c:rich>
      </c:tx>
      <c:layout>
        <c:manualLayout>
          <c:xMode val="edge"/>
          <c:yMode val="edge"/>
          <c:x val="0.24281183701877521"/>
          <c:y val="4.4335083114610721E-2"/>
        </c:manualLayout>
      </c:layout>
      <c:spPr>
        <a:noFill/>
        <a:ln w="25400">
          <a:noFill/>
        </a:ln>
      </c:spPr>
    </c:title>
    <c:plotArea>
      <c:layout>
        <c:manualLayout>
          <c:layoutTarget val="inner"/>
          <c:xMode val="edge"/>
          <c:yMode val="edge"/>
          <c:x val="9.9041688051754728E-2"/>
          <c:y val="0.26600985221674878"/>
          <c:w val="0.85623136767323482"/>
          <c:h val="0.47290640394088707"/>
        </c:manualLayout>
      </c:layout>
      <c:barChart>
        <c:barDir val="col"/>
        <c:grouping val="clustered"/>
        <c:ser>
          <c:idx val="0"/>
          <c:order val="0"/>
          <c:spPr>
            <a:solidFill>
              <a:srgbClr val="9999FF"/>
            </a:solidFill>
            <a:ln w="12700">
              <a:solidFill>
                <a:srgbClr val="000000"/>
              </a:solidFill>
              <a:prstDash val="solid"/>
            </a:ln>
          </c:spPr>
          <c:cat>
            <c:strRef>
              <c:f>Tabelle1!$A$21:$A$30</c:f>
              <c:strCache>
                <c:ptCount val="10"/>
                <c:pt idx="0">
                  <c:v>DEU</c:v>
                </c:pt>
                <c:pt idx="1">
                  <c:v>EN</c:v>
                </c:pt>
                <c:pt idx="2">
                  <c:v>MAT</c:v>
                </c:pt>
                <c:pt idx="3">
                  <c:v>WIL</c:v>
                </c:pt>
                <c:pt idx="4">
                  <c:v>REW</c:v>
                </c:pt>
                <c:pt idx="5">
                  <c:v>SOK</c:v>
                </c:pt>
                <c:pt idx="6">
                  <c:v>DAV</c:v>
                </c:pt>
                <c:pt idx="7">
                  <c:v>ART</c:v>
                </c:pt>
                <c:pt idx="8">
                  <c:v>TXT</c:v>
                </c:pt>
                <c:pt idx="9">
                  <c:v>REL</c:v>
                </c:pt>
              </c:strCache>
            </c:strRef>
          </c:cat>
          <c:val>
            <c:numRef>
              <c:f>Tabelle1!$B$21:$B$30</c:f>
              <c:numCache>
                <c:formatCode>General</c:formatCode>
                <c:ptCount val="10"/>
                <c:pt idx="0">
                  <c:v>2</c:v>
                </c:pt>
                <c:pt idx="1">
                  <c:v>3</c:v>
                </c:pt>
                <c:pt idx="2">
                  <c:v>6</c:v>
                </c:pt>
                <c:pt idx="3">
                  <c:v>4</c:v>
                </c:pt>
                <c:pt idx="4">
                  <c:v>5</c:v>
                </c:pt>
                <c:pt idx="5">
                  <c:v>0</c:v>
                </c:pt>
                <c:pt idx="6">
                  <c:v>2</c:v>
                </c:pt>
                <c:pt idx="7">
                  <c:v>1</c:v>
                </c:pt>
                <c:pt idx="8">
                  <c:v>0</c:v>
                </c:pt>
                <c:pt idx="9">
                  <c:v>0</c:v>
                </c:pt>
              </c:numCache>
            </c:numRef>
          </c:val>
        </c:ser>
        <c:axId val="84179968"/>
        <c:axId val="85179008"/>
      </c:barChart>
      <c:catAx>
        <c:axId val="84179968"/>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de-DE"/>
          </a:p>
        </c:txPr>
        <c:crossAx val="85179008"/>
        <c:crosses val="autoZero"/>
        <c:auto val="1"/>
        <c:lblAlgn val="ctr"/>
        <c:lblOffset val="100"/>
        <c:tickLblSkip val="1"/>
        <c:tickMarkSkip val="1"/>
      </c:catAx>
      <c:valAx>
        <c:axId val="851790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de-DE"/>
          </a:p>
        </c:txPr>
        <c:crossAx val="8417996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de-DE"/>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sz="800" b="1" i="0" u="none" strike="noStrike" baseline="0">
                <a:solidFill>
                  <a:srgbClr val="000000"/>
                </a:solidFill>
                <a:latin typeface="Arial"/>
                <a:ea typeface="Arial"/>
                <a:cs typeface="Arial"/>
              </a:defRPr>
            </a:pPr>
            <a:r>
              <a:rPr lang="de-DE"/>
              <a:t>H10d/Nichtversetzung/Fächer</a:t>
            </a:r>
          </a:p>
        </c:rich>
      </c:tx>
      <c:layout>
        <c:manualLayout>
          <c:xMode val="edge"/>
          <c:yMode val="edge"/>
          <c:x val="0.24038528837741446"/>
          <c:y val="4.4335027741785479E-2"/>
        </c:manualLayout>
      </c:layout>
      <c:spPr>
        <a:noFill/>
        <a:ln w="25400">
          <a:noFill/>
        </a:ln>
      </c:spPr>
    </c:title>
    <c:plotArea>
      <c:layout>
        <c:manualLayout>
          <c:layoutTarget val="inner"/>
          <c:xMode val="edge"/>
          <c:yMode val="edge"/>
          <c:x val="9.9359285354333665E-2"/>
          <c:y val="0.26600985221674878"/>
          <c:w val="0.85577190934216452"/>
          <c:h val="0.47290640394088707"/>
        </c:manualLayout>
      </c:layout>
      <c:barChart>
        <c:barDir val="col"/>
        <c:grouping val="clustered"/>
        <c:ser>
          <c:idx val="0"/>
          <c:order val="0"/>
          <c:spPr>
            <a:solidFill>
              <a:srgbClr val="9999FF"/>
            </a:solidFill>
            <a:ln w="12700">
              <a:solidFill>
                <a:srgbClr val="000000"/>
              </a:solidFill>
              <a:prstDash val="solid"/>
            </a:ln>
          </c:spPr>
          <c:cat>
            <c:strRef>
              <c:f>Tabelle1!$D$21:$D$30</c:f>
              <c:strCache>
                <c:ptCount val="10"/>
                <c:pt idx="0">
                  <c:v>DEU</c:v>
                </c:pt>
                <c:pt idx="1">
                  <c:v>EN</c:v>
                </c:pt>
                <c:pt idx="2">
                  <c:v>MAT</c:v>
                </c:pt>
                <c:pt idx="3">
                  <c:v>WIL</c:v>
                </c:pt>
                <c:pt idx="4">
                  <c:v>REW</c:v>
                </c:pt>
                <c:pt idx="5">
                  <c:v>SOK</c:v>
                </c:pt>
                <c:pt idx="6">
                  <c:v>DAV</c:v>
                </c:pt>
                <c:pt idx="7">
                  <c:v>ART</c:v>
                </c:pt>
                <c:pt idx="8">
                  <c:v>TXT</c:v>
                </c:pt>
                <c:pt idx="9">
                  <c:v>REL</c:v>
                </c:pt>
              </c:strCache>
            </c:strRef>
          </c:cat>
          <c:val>
            <c:numRef>
              <c:f>Tabelle1!$E$21:$E$30</c:f>
              <c:numCache>
                <c:formatCode>General</c:formatCode>
                <c:ptCount val="10"/>
                <c:pt idx="0">
                  <c:v>3</c:v>
                </c:pt>
                <c:pt idx="1">
                  <c:v>5</c:v>
                </c:pt>
                <c:pt idx="2">
                  <c:v>3</c:v>
                </c:pt>
                <c:pt idx="3">
                  <c:v>4</c:v>
                </c:pt>
                <c:pt idx="4">
                  <c:v>4</c:v>
                </c:pt>
                <c:pt idx="5">
                  <c:v>1</c:v>
                </c:pt>
                <c:pt idx="6">
                  <c:v>0</c:v>
                </c:pt>
                <c:pt idx="7">
                  <c:v>1</c:v>
                </c:pt>
                <c:pt idx="8">
                  <c:v>0</c:v>
                </c:pt>
                <c:pt idx="9">
                  <c:v>0</c:v>
                </c:pt>
              </c:numCache>
            </c:numRef>
          </c:val>
        </c:ser>
        <c:axId val="92482176"/>
        <c:axId val="92501504"/>
      </c:barChart>
      <c:catAx>
        <c:axId val="92482176"/>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de-DE"/>
          </a:p>
        </c:txPr>
        <c:crossAx val="92501504"/>
        <c:crosses val="autoZero"/>
        <c:auto val="1"/>
        <c:lblAlgn val="ctr"/>
        <c:lblOffset val="100"/>
        <c:tickLblSkip val="1"/>
        <c:tickMarkSkip val="1"/>
      </c:catAx>
      <c:valAx>
        <c:axId val="925015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de-DE"/>
          </a:p>
        </c:txPr>
        <c:crossAx val="9248217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de-DE"/>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sz="1200" b="1" i="0" u="none" strike="noStrike" baseline="0">
                <a:solidFill>
                  <a:srgbClr val="000000"/>
                </a:solidFill>
                <a:latin typeface="Arial"/>
                <a:ea typeface="Arial"/>
                <a:cs typeface="Arial"/>
              </a:defRPr>
            </a:pPr>
            <a:r>
              <a:rPr lang="de-DE"/>
              <a:t>Handelsschule gesamt</a:t>
            </a:r>
          </a:p>
        </c:rich>
      </c:tx>
      <c:layout>
        <c:manualLayout>
          <c:xMode val="edge"/>
          <c:yMode val="edge"/>
          <c:x val="0.31632676960621769"/>
          <c:y val="3.5335843889079122E-2"/>
        </c:manualLayout>
      </c:layout>
      <c:spPr>
        <a:noFill/>
        <a:ln w="25400">
          <a:noFill/>
        </a:ln>
      </c:spPr>
    </c:title>
    <c:plotArea>
      <c:layout>
        <c:manualLayout>
          <c:layoutTarget val="inner"/>
          <c:xMode val="edge"/>
          <c:yMode val="edge"/>
          <c:x val="8.3673552767810161E-2"/>
          <c:y val="0.23321595008825319"/>
          <c:w val="0.88775598668286304"/>
          <c:h val="0.60777490022999325"/>
        </c:manualLayout>
      </c:layout>
      <c:barChart>
        <c:barDir val="col"/>
        <c:grouping val="clustered"/>
        <c:ser>
          <c:idx val="0"/>
          <c:order val="0"/>
          <c:spPr>
            <a:solidFill>
              <a:srgbClr val="9999FF"/>
            </a:solidFill>
            <a:ln w="12700">
              <a:solidFill>
                <a:srgbClr val="000000"/>
              </a:solidFill>
              <a:prstDash val="solid"/>
            </a:ln>
          </c:spPr>
          <c:cat>
            <c:strRef>
              <c:f>Tabelle1!$H$8:$H$17</c:f>
              <c:strCache>
                <c:ptCount val="10"/>
                <c:pt idx="0">
                  <c:v>DEU</c:v>
                </c:pt>
                <c:pt idx="1">
                  <c:v>FRZ/ENG</c:v>
                </c:pt>
                <c:pt idx="2">
                  <c:v>MAT</c:v>
                </c:pt>
                <c:pt idx="3">
                  <c:v>WIL</c:v>
                </c:pt>
                <c:pt idx="4">
                  <c:v>REW</c:v>
                </c:pt>
                <c:pt idx="5">
                  <c:v>SOK</c:v>
                </c:pt>
                <c:pt idx="6">
                  <c:v>DAV</c:v>
                </c:pt>
                <c:pt idx="7">
                  <c:v>ART</c:v>
                </c:pt>
                <c:pt idx="8">
                  <c:v>TXT</c:v>
                </c:pt>
                <c:pt idx="9">
                  <c:v>REL</c:v>
                </c:pt>
              </c:strCache>
            </c:strRef>
          </c:cat>
          <c:val>
            <c:numRef>
              <c:f>Tabelle1!$I$8:$I$17</c:f>
              <c:numCache>
                <c:formatCode>General</c:formatCode>
                <c:ptCount val="10"/>
                <c:pt idx="0">
                  <c:v>9</c:v>
                </c:pt>
                <c:pt idx="1">
                  <c:v>12</c:v>
                </c:pt>
                <c:pt idx="2">
                  <c:v>13</c:v>
                </c:pt>
                <c:pt idx="3">
                  <c:v>14</c:v>
                </c:pt>
                <c:pt idx="4">
                  <c:v>18</c:v>
                </c:pt>
                <c:pt idx="5">
                  <c:v>2</c:v>
                </c:pt>
                <c:pt idx="6">
                  <c:v>4</c:v>
                </c:pt>
                <c:pt idx="7">
                  <c:v>5</c:v>
                </c:pt>
                <c:pt idx="8">
                  <c:v>0</c:v>
                </c:pt>
                <c:pt idx="9">
                  <c:v>0</c:v>
                </c:pt>
              </c:numCache>
            </c:numRef>
          </c:val>
        </c:ser>
        <c:axId val="106119168"/>
        <c:axId val="106122240"/>
      </c:barChart>
      <c:catAx>
        <c:axId val="10611916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e-DE"/>
          </a:p>
        </c:txPr>
        <c:crossAx val="106122240"/>
        <c:crosses val="autoZero"/>
        <c:auto val="1"/>
        <c:lblAlgn val="ctr"/>
        <c:lblOffset val="100"/>
        <c:tickLblSkip val="1"/>
        <c:tickMarkSkip val="1"/>
      </c:catAx>
      <c:valAx>
        <c:axId val="106122240"/>
        <c:scaling>
          <c:orientation val="minMax"/>
          <c:max val="25"/>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e-DE"/>
          </a:p>
        </c:txPr>
        <c:crossAx val="106119168"/>
        <c:crosses val="autoZero"/>
        <c:crossBetween val="between"/>
        <c:majorUnit val="2"/>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de-D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de-DE"/>
              <a:t>FO11A4/Nichtversetzung/Fächer</a:t>
            </a:r>
          </a:p>
        </c:rich>
      </c:tx>
      <c:layout>
        <c:manualLayout>
          <c:xMode val="edge"/>
          <c:yMode val="edge"/>
          <c:x val="0.14859479914408291"/>
          <c:y val="4.8648648648648651E-2"/>
        </c:manualLayout>
      </c:layout>
      <c:spPr>
        <a:noFill/>
        <a:ln w="25400">
          <a:noFill/>
        </a:ln>
      </c:spPr>
    </c:title>
    <c:plotArea>
      <c:layout>
        <c:manualLayout>
          <c:layoutTarget val="inner"/>
          <c:xMode val="edge"/>
          <c:yMode val="edge"/>
          <c:x val="0.10040200019609756"/>
          <c:y val="0.27027027027027073"/>
          <c:w val="0.84337680164722029"/>
          <c:h val="0.55135135135135138"/>
        </c:manualLayout>
      </c:layout>
      <c:barChart>
        <c:barDir val="col"/>
        <c:grouping val="stacked"/>
        <c:ser>
          <c:idx val="0"/>
          <c:order val="0"/>
          <c:cat>
            <c:strRef>
              <c:f>'Nichtversetz. Fach Statistik'!$D$14:$D$20</c:f>
              <c:strCache>
                <c:ptCount val="7"/>
                <c:pt idx="0">
                  <c:v>DE</c:v>
                </c:pt>
                <c:pt idx="1">
                  <c:v>EN</c:v>
                </c:pt>
                <c:pt idx="2">
                  <c:v>MAT</c:v>
                </c:pt>
                <c:pt idx="3">
                  <c:v>BWL</c:v>
                </c:pt>
                <c:pt idx="4">
                  <c:v>REWE</c:v>
                </c:pt>
                <c:pt idx="5">
                  <c:v>RK</c:v>
                </c:pt>
                <c:pt idx="6">
                  <c:v>VWL</c:v>
                </c:pt>
              </c:strCache>
            </c:strRef>
          </c:cat>
          <c:val>
            <c:numRef>
              <c:f>'Nichtversetz. Fach Statistik'!$E$14:$E$20</c:f>
              <c:numCache>
                <c:formatCode>General</c:formatCode>
                <c:ptCount val="7"/>
                <c:pt idx="0">
                  <c:v>1</c:v>
                </c:pt>
                <c:pt idx="1">
                  <c:v>1</c:v>
                </c:pt>
                <c:pt idx="2">
                  <c:v>2</c:v>
                </c:pt>
                <c:pt idx="3">
                  <c:v>2</c:v>
                </c:pt>
                <c:pt idx="4">
                  <c:v>2</c:v>
                </c:pt>
                <c:pt idx="5">
                  <c:v>0</c:v>
                </c:pt>
                <c:pt idx="6">
                  <c:v>0</c:v>
                </c:pt>
              </c:numCache>
            </c:numRef>
          </c:val>
        </c:ser>
        <c:overlap val="100"/>
        <c:axId val="112292992"/>
        <c:axId val="120393088"/>
      </c:barChart>
      <c:catAx>
        <c:axId val="112292992"/>
        <c:scaling>
          <c:orientation val="minMax"/>
        </c:scaling>
        <c:axPos val="b"/>
        <c:numFmt formatCode="General" sourceLinked="1"/>
        <c:tickLblPos val="nextTo"/>
        <c:spPr>
          <a:ln w="3175">
            <a:solidFill>
              <a:srgbClr val="000000"/>
            </a:solidFill>
            <a:prstDash val="solid"/>
          </a:ln>
        </c:spPr>
        <c:txPr>
          <a:bodyPr rot="0" vert="horz"/>
          <a:lstStyle/>
          <a:p>
            <a:pPr>
              <a:defRPr sz="1050"/>
            </a:pPr>
            <a:endParaRPr lang="de-DE"/>
          </a:p>
        </c:txPr>
        <c:crossAx val="120393088"/>
        <c:crosses val="autoZero"/>
        <c:auto val="1"/>
        <c:lblAlgn val="ctr"/>
        <c:lblOffset val="100"/>
        <c:tickLblSkip val="1"/>
        <c:tickMarkSkip val="1"/>
      </c:catAx>
      <c:valAx>
        <c:axId val="120393088"/>
        <c:scaling>
          <c:orientation val="minMax"/>
          <c:max val="4"/>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de-DE"/>
          </a:p>
        </c:txPr>
        <c:crossAx val="112292992"/>
        <c:crosses val="autoZero"/>
        <c:crossBetween val="between"/>
        <c:majorUnit val="1"/>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de-DE"/>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sz="1050" b="1" i="0" u="none" strike="noStrike" baseline="0">
                <a:solidFill>
                  <a:srgbClr val="000000"/>
                </a:solidFill>
                <a:latin typeface="Arial"/>
                <a:ea typeface="Arial"/>
                <a:cs typeface="Arial"/>
              </a:defRPr>
            </a:pPr>
            <a:r>
              <a:rPr lang="de-DE" sz="1050"/>
              <a:t>FO11A2/Nichtversetzung/Fächer</a:t>
            </a:r>
          </a:p>
        </c:rich>
      </c:tx>
      <c:layout>
        <c:manualLayout>
          <c:xMode val="edge"/>
          <c:yMode val="edge"/>
          <c:x val="0.15686315681128113"/>
          <c:y val="5.0632911392405111E-2"/>
        </c:manualLayout>
      </c:layout>
      <c:spPr>
        <a:noFill/>
        <a:ln w="25400">
          <a:noFill/>
        </a:ln>
      </c:spPr>
    </c:title>
    <c:plotArea>
      <c:layout>
        <c:manualLayout>
          <c:layoutTarget val="inner"/>
          <c:xMode val="edge"/>
          <c:yMode val="edge"/>
          <c:x val="9.8039591144267718E-2"/>
          <c:y val="0.31012658227848156"/>
          <c:w val="0.84706206748647173"/>
          <c:h val="0.48101265822784867"/>
        </c:manualLayout>
      </c:layout>
      <c:barChart>
        <c:barDir val="col"/>
        <c:grouping val="stacked"/>
        <c:ser>
          <c:idx val="0"/>
          <c:order val="0"/>
          <c:cat>
            <c:strRef>
              <c:f>'Nichtversetz. Fach Statistik'!$D$4:$D$10</c:f>
              <c:strCache>
                <c:ptCount val="7"/>
                <c:pt idx="0">
                  <c:v>DE</c:v>
                </c:pt>
                <c:pt idx="1">
                  <c:v>FRZ</c:v>
                </c:pt>
                <c:pt idx="2">
                  <c:v>MAT</c:v>
                </c:pt>
                <c:pt idx="3">
                  <c:v>BWL</c:v>
                </c:pt>
                <c:pt idx="4">
                  <c:v>REWE</c:v>
                </c:pt>
                <c:pt idx="5">
                  <c:v>RK</c:v>
                </c:pt>
                <c:pt idx="6">
                  <c:v>VWL</c:v>
                </c:pt>
              </c:strCache>
            </c:strRef>
          </c:cat>
          <c:val>
            <c:numRef>
              <c:f>'Nichtversetz. Fach Statistik'!$E$4:$E$10</c:f>
              <c:numCache>
                <c:formatCode>General</c:formatCode>
                <c:ptCount val="7"/>
                <c:pt idx="0">
                  <c:v>1</c:v>
                </c:pt>
                <c:pt idx="1">
                  <c:v>2</c:v>
                </c:pt>
                <c:pt idx="2">
                  <c:v>2</c:v>
                </c:pt>
                <c:pt idx="3">
                  <c:v>1</c:v>
                </c:pt>
                <c:pt idx="4">
                  <c:v>0</c:v>
                </c:pt>
                <c:pt idx="5">
                  <c:v>0</c:v>
                </c:pt>
                <c:pt idx="6">
                  <c:v>0</c:v>
                </c:pt>
              </c:numCache>
            </c:numRef>
          </c:val>
        </c:ser>
        <c:overlap val="100"/>
        <c:axId val="106136704"/>
        <c:axId val="106141184"/>
      </c:barChart>
      <c:catAx>
        <c:axId val="106136704"/>
        <c:scaling>
          <c:orientation val="minMax"/>
        </c:scaling>
        <c:axPos val="b"/>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de-DE"/>
          </a:p>
        </c:txPr>
        <c:crossAx val="106141184"/>
        <c:crosses val="autoZero"/>
        <c:auto val="1"/>
        <c:lblAlgn val="ctr"/>
        <c:lblOffset val="100"/>
        <c:tickLblSkip val="1"/>
        <c:tickMarkSkip val="1"/>
      </c:catAx>
      <c:valAx>
        <c:axId val="106141184"/>
        <c:scaling>
          <c:orientation val="minMax"/>
          <c:max val="4"/>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de-DE"/>
          </a:p>
        </c:txPr>
        <c:crossAx val="106136704"/>
        <c:crosses val="autoZero"/>
        <c:crossBetween val="between"/>
        <c:majorUnit val="1"/>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de-DE"/>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de-DE"/>
              <a:t>FO11A5/Nichtversetzung/Fächer</a:t>
            </a:r>
          </a:p>
        </c:rich>
      </c:tx>
      <c:layout>
        <c:manualLayout>
          <c:xMode val="edge"/>
          <c:yMode val="edge"/>
          <c:x val="0.14800041994750671"/>
          <c:y val="4.6242774566473945E-2"/>
        </c:manualLayout>
      </c:layout>
      <c:spPr>
        <a:noFill/>
        <a:ln w="25400">
          <a:noFill/>
        </a:ln>
      </c:spPr>
    </c:title>
    <c:plotArea>
      <c:layout>
        <c:manualLayout>
          <c:layoutTarget val="inner"/>
          <c:xMode val="edge"/>
          <c:yMode val="edge"/>
          <c:x val="0.11066666666666666"/>
          <c:y val="0.28901749350296785"/>
          <c:w val="0.84400164844072045"/>
          <c:h val="0.52023121387283233"/>
        </c:manualLayout>
      </c:layout>
      <c:barChart>
        <c:barDir val="col"/>
        <c:grouping val="stacked"/>
        <c:ser>
          <c:idx val="0"/>
          <c:order val="0"/>
          <c:cat>
            <c:strRef>
              <c:f>'Nichtversetz. Fach Statistik'!$A$23:$A$29</c:f>
              <c:strCache>
                <c:ptCount val="7"/>
                <c:pt idx="0">
                  <c:v>DE</c:v>
                </c:pt>
                <c:pt idx="1">
                  <c:v>EN</c:v>
                </c:pt>
                <c:pt idx="2">
                  <c:v>MAT</c:v>
                </c:pt>
                <c:pt idx="3">
                  <c:v>BWL</c:v>
                </c:pt>
                <c:pt idx="4">
                  <c:v>REWE</c:v>
                </c:pt>
                <c:pt idx="5">
                  <c:v>RK</c:v>
                </c:pt>
                <c:pt idx="6">
                  <c:v>VWL</c:v>
                </c:pt>
              </c:strCache>
            </c:strRef>
          </c:cat>
          <c:val>
            <c:numRef>
              <c:f>'Nichtversetz. Fach Statistik'!$B$23:$B$29</c:f>
              <c:numCache>
                <c:formatCode>General</c:formatCode>
                <c:ptCount val="7"/>
                <c:pt idx="0">
                  <c:v>0</c:v>
                </c:pt>
                <c:pt idx="1">
                  <c:v>0</c:v>
                </c:pt>
                <c:pt idx="2">
                  <c:v>0</c:v>
                </c:pt>
                <c:pt idx="3">
                  <c:v>0</c:v>
                </c:pt>
                <c:pt idx="4">
                  <c:v>0</c:v>
                </c:pt>
                <c:pt idx="5">
                  <c:v>0</c:v>
                </c:pt>
                <c:pt idx="6">
                  <c:v>0</c:v>
                </c:pt>
              </c:numCache>
            </c:numRef>
          </c:val>
        </c:ser>
        <c:overlap val="100"/>
        <c:axId val="105332736"/>
        <c:axId val="105629952"/>
      </c:barChart>
      <c:catAx>
        <c:axId val="105332736"/>
        <c:scaling>
          <c:orientation val="minMax"/>
        </c:scaling>
        <c:axPos val="b"/>
        <c:numFmt formatCode="General" sourceLinked="1"/>
        <c:tickLblPos val="nextTo"/>
        <c:spPr>
          <a:ln w="3175">
            <a:solidFill>
              <a:srgbClr val="000000"/>
            </a:solidFill>
            <a:prstDash val="solid"/>
          </a:ln>
        </c:spPr>
        <c:txPr>
          <a:bodyPr rot="0" vert="horz"/>
          <a:lstStyle/>
          <a:p>
            <a:pPr>
              <a:defRPr/>
            </a:pPr>
            <a:endParaRPr lang="de-DE"/>
          </a:p>
        </c:txPr>
        <c:crossAx val="105629952"/>
        <c:crosses val="autoZero"/>
        <c:auto val="1"/>
        <c:lblAlgn val="ctr"/>
        <c:lblOffset val="100"/>
        <c:tickLblSkip val="1"/>
        <c:tickMarkSkip val="1"/>
      </c:catAx>
      <c:valAx>
        <c:axId val="105629952"/>
        <c:scaling>
          <c:orientation val="minMax"/>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de-DE"/>
          </a:p>
        </c:txPr>
        <c:crossAx val="105332736"/>
        <c:crosses val="autoZero"/>
        <c:crossBetween val="between"/>
        <c:majorUnit val="1"/>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de-DE"/>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de-DE"/>
              <a:t>FO11A3/Nichtversetzung/Fächer</a:t>
            </a:r>
          </a:p>
        </c:rich>
      </c:tx>
      <c:layout>
        <c:manualLayout>
          <c:xMode val="edge"/>
          <c:yMode val="edge"/>
          <c:x val="0.14859479914408291"/>
          <c:y val="4.3715846994535519E-2"/>
        </c:manualLayout>
      </c:layout>
      <c:spPr>
        <a:noFill/>
        <a:ln w="25400">
          <a:noFill/>
        </a:ln>
      </c:spPr>
    </c:title>
    <c:plotArea>
      <c:layout>
        <c:manualLayout>
          <c:layoutTarget val="inner"/>
          <c:xMode val="edge"/>
          <c:yMode val="edge"/>
          <c:x val="0.10040200019609759"/>
          <c:y val="0.27322550175835558"/>
          <c:w val="0.84337680164722029"/>
          <c:h val="0.54645100351671105"/>
        </c:manualLayout>
      </c:layout>
      <c:barChart>
        <c:barDir val="col"/>
        <c:grouping val="stacked"/>
        <c:ser>
          <c:idx val="0"/>
          <c:order val="0"/>
          <c:cat>
            <c:strRef>
              <c:f>'Nichtversetz. Fach Statistik'!$A$14:$A$20</c:f>
              <c:strCache>
                <c:ptCount val="7"/>
                <c:pt idx="0">
                  <c:v>DE</c:v>
                </c:pt>
                <c:pt idx="1">
                  <c:v>EN</c:v>
                </c:pt>
                <c:pt idx="2">
                  <c:v>MAT</c:v>
                </c:pt>
                <c:pt idx="3">
                  <c:v>BWL</c:v>
                </c:pt>
                <c:pt idx="4">
                  <c:v>REWE</c:v>
                </c:pt>
                <c:pt idx="5">
                  <c:v>RK</c:v>
                </c:pt>
                <c:pt idx="6">
                  <c:v>VWL</c:v>
                </c:pt>
              </c:strCache>
            </c:strRef>
          </c:cat>
          <c:val>
            <c:numRef>
              <c:f>'Nichtversetz. Fach Statistik'!$B$14:$B$20</c:f>
              <c:numCache>
                <c:formatCode>General</c:formatCode>
                <c:ptCount val="7"/>
                <c:pt idx="0">
                  <c:v>2</c:v>
                </c:pt>
                <c:pt idx="1">
                  <c:v>2</c:v>
                </c:pt>
                <c:pt idx="2">
                  <c:v>3</c:v>
                </c:pt>
                <c:pt idx="3">
                  <c:v>1</c:v>
                </c:pt>
                <c:pt idx="4">
                  <c:v>1</c:v>
                </c:pt>
                <c:pt idx="5">
                  <c:v>0</c:v>
                </c:pt>
                <c:pt idx="6">
                  <c:v>0</c:v>
                </c:pt>
              </c:numCache>
            </c:numRef>
          </c:val>
        </c:ser>
        <c:overlap val="100"/>
        <c:axId val="82164736"/>
        <c:axId val="82658048"/>
      </c:barChart>
      <c:catAx>
        <c:axId val="82164736"/>
        <c:scaling>
          <c:orientation val="minMax"/>
        </c:scaling>
        <c:axPos val="b"/>
        <c:numFmt formatCode="General" sourceLinked="1"/>
        <c:tickLblPos val="nextTo"/>
        <c:spPr>
          <a:ln w="3175">
            <a:solidFill>
              <a:srgbClr val="000000"/>
            </a:solidFill>
            <a:prstDash val="solid"/>
          </a:ln>
        </c:spPr>
        <c:txPr>
          <a:bodyPr rot="0" vert="horz"/>
          <a:lstStyle/>
          <a:p>
            <a:pPr>
              <a:defRPr/>
            </a:pPr>
            <a:endParaRPr lang="de-DE"/>
          </a:p>
        </c:txPr>
        <c:crossAx val="82658048"/>
        <c:crosses val="autoZero"/>
        <c:auto val="1"/>
        <c:lblAlgn val="ctr"/>
        <c:lblOffset val="100"/>
        <c:tickLblSkip val="1"/>
        <c:tickMarkSkip val="1"/>
      </c:catAx>
      <c:valAx>
        <c:axId val="82658048"/>
        <c:scaling>
          <c:orientation val="minMax"/>
          <c:max val="3"/>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de-DE"/>
          </a:p>
        </c:txPr>
        <c:crossAx val="82164736"/>
        <c:crosses val="autoZero"/>
        <c:crossBetween val="between"/>
        <c:majorUnit val="1"/>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de-DE"/>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de-DE"/>
              <a:t>FO11A6/NIchtversetzung/Fächer</a:t>
            </a:r>
          </a:p>
        </c:rich>
      </c:tx>
      <c:layout>
        <c:manualLayout>
          <c:xMode val="edge"/>
          <c:yMode val="edge"/>
          <c:x val="0.15079406740824086"/>
          <c:y val="5.1612903225806528E-2"/>
        </c:manualLayout>
      </c:layout>
      <c:spPr>
        <a:noFill/>
        <a:ln w="25400">
          <a:noFill/>
        </a:ln>
      </c:spPr>
    </c:title>
    <c:plotArea>
      <c:layout>
        <c:manualLayout>
          <c:layoutTarget val="inner"/>
          <c:xMode val="edge"/>
          <c:yMode val="edge"/>
          <c:x val="9.9206733657047005E-2"/>
          <c:y val="0.31612903225806482"/>
          <c:w val="0.84524137075804062"/>
          <c:h val="0.47096774193548435"/>
        </c:manualLayout>
      </c:layout>
      <c:barChart>
        <c:barDir val="col"/>
        <c:grouping val="stacked"/>
        <c:ser>
          <c:idx val="0"/>
          <c:order val="0"/>
          <c:cat>
            <c:strRef>
              <c:f>'Nichtversetz. Fach Statistik'!$D$23:$D$29</c:f>
              <c:strCache>
                <c:ptCount val="7"/>
                <c:pt idx="0">
                  <c:v>DE</c:v>
                </c:pt>
                <c:pt idx="1">
                  <c:v>EN</c:v>
                </c:pt>
                <c:pt idx="2">
                  <c:v>MAT</c:v>
                </c:pt>
                <c:pt idx="3">
                  <c:v>BWL</c:v>
                </c:pt>
                <c:pt idx="4">
                  <c:v>REWE</c:v>
                </c:pt>
                <c:pt idx="5">
                  <c:v>RK</c:v>
                </c:pt>
                <c:pt idx="6">
                  <c:v>VWL</c:v>
                </c:pt>
              </c:strCache>
            </c:strRef>
          </c:cat>
          <c:val>
            <c:numRef>
              <c:f>'Nichtversetz. Fach Statistik'!$E$23:$E$29</c:f>
              <c:numCache>
                <c:formatCode>General</c:formatCode>
                <c:ptCount val="7"/>
                <c:pt idx="0">
                  <c:v>6</c:v>
                </c:pt>
                <c:pt idx="1">
                  <c:v>2</c:v>
                </c:pt>
                <c:pt idx="2">
                  <c:v>6</c:v>
                </c:pt>
                <c:pt idx="3">
                  <c:v>6</c:v>
                </c:pt>
                <c:pt idx="4">
                  <c:v>4</c:v>
                </c:pt>
                <c:pt idx="5">
                  <c:v>0</c:v>
                </c:pt>
                <c:pt idx="6">
                  <c:v>3</c:v>
                </c:pt>
              </c:numCache>
            </c:numRef>
          </c:val>
        </c:ser>
        <c:overlap val="100"/>
        <c:axId val="84178048"/>
        <c:axId val="84179584"/>
      </c:barChart>
      <c:catAx>
        <c:axId val="84178048"/>
        <c:scaling>
          <c:orientation val="minMax"/>
        </c:scaling>
        <c:axPos val="b"/>
        <c:numFmt formatCode="General" sourceLinked="1"/>
        <c:tickLblPos val="nextTo"/>
        <c:spPr>
          <a:ln w="3175">
            <a:solidFill>
              <a:srgbClr val="000000"/>
            </a:solidFill>
            <a:prstDash val="solid"/>
          </a:ln>
        </c:spPr>
        <c:txPr>
          <a:bodyPr rot="0" vert="horz"/>
          <a:lstStyle/>
          <a:p>
            <a:pPr>
              <a:defRPr/>
            </a:pPr>
            <a:endParaRPr lang="de-DE"/>
          </a:p>
        </c:txPr>
        <c:crossAx val="84179584"/>
        <c:crosses val="autoZero"/>
        <c:auto val="1"/>
        <c:lblAlgn val="ctr"/>
        <c:lblOffset val="100"/>
        <c:tickLblSkip val="1"/>
        <c:tickMarkSkip val="1"/>
      </c:catAx>
      <c:valAx>
        <c:axId val="84179584"/>
        <c:scaling>
          <c:orientation val="minMax"/>
          <c:max val="4"/>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de-DE"/>
          </a:p>
        </c:txPr>
        <c:crossAx val="84178048"/>
        <c:crosses val="autoZero"/>
        <c:crossBetween val="between"/>
        <c:majorUnit val="1"/>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de-DE"/>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sz="1600" b="1" i="0" u="none" strike="noStrike" baseline="0">
                <a:solidFill>
                  <a:srgbClr val="000000"/>
                </a:solidFill>
                <a:latin typeface="Arial"/>
                <a:ea typeface="Arial"/>
                <a:cs typeface="Arial"/>
              </a:defRPr>
            </a:pPr>
            <a:r>
              <a:rPr lang="de-DE" sz="1600"/>
              <a:t>Fachoberschule gesamt</a:t>
            </a:r>
          </a:p>
        </c:rich>
      </c:tx>
      <c:layout>
        <c:manualLayout>
          <c:xMode val="edge"/>
          <c:yMode val="edge"/>
          <c:x val="0.37093730396511171"/>
          <c:y val="4.6874999999999986E-2"/>
        </c:manualLayout>
      </c:layout>
      <c:spPr>
        <a:noFill/>
        <a:ln w="25400">
          <a:noFill/>
        </a:ln>
      </c:spPr>
    </c:title>
    <c:plotArea>
      <c:layout>
        <c:manualLayout>
          <c:layoutTarget val="inner"/>
          <c:xMode val="edge"/>
          <c:yMode val="edge"/>
          <c:x val="7.0745763946137824E-2"/>
          <c:y val="0.27604307069432926"/>
          <c:w val="0.90248650223181148"/>
          <c:h val="0.51041926279328809"/>
        </c:manualLayout>
      </c:layout>
      <c:barChart>
        <c:barDir val="col"/>
        <c:grouping val="clustered"/>
        <c:ser>
          <c:idx val="0"/>
          <c:order val="0"/>
          <c:cat>
            <c:strRef>
              <c:f>'Nichtversetz. Fach Statistik'!$D$52:$D$59</c:f>
              <c:strCache>
                <c:ptCount val="8"/>
                <c:pt idx="0">
                  <c:v>DE</c:v>
                </c:pt>
                <c:pt idx="1">
                  <c:v>FRZ</c:v>
                </c:pt>
                <c:pt idx="2">
                  <c:v>EN</c:v>
                </c:pt>
                <c:pt idx="3">
                  <c:v>MAT</c:v>
                </c:pt>
                <c:pt idx="4">
                  <c:v>BWL</c:v>
                </c:pt>
                <c:pt idx="5">
                  <c:v>REWE</c:v>
                </c:pt>
                <c:pt idx="6">
                  <c:v>RK</c:v>
                </c:pt>
                <c:pt idx="7">
                  <c:v>VWL</c:v>
                </c:pt>
              </c:strCache>
            </c:strRef>
          </c:cat>
          <c:val>
            <c:numRef>
              <c:f>'Nichtversetz. Fach Statistik'!$E$52:$E$59</c:f>
              <c:numCache>
                <c:formatCode>#,##0\ " Schüler"</c:formatCode>
                <c:ptCount val="8"/>
                <c:pt idx="0">
                  <c:v>11</c:v>
                </c:pt>
                <c:pt idx="1">
                  <c:v>3</c:v>
                </c:pt>
                <c:pt idx="2">
                  <c:v>5</c:v>
                </c:pt>
                <c:pt idx="3">
                  <c:v>13</c:v>
                </c:pt>
                <c:pt idx="4">
                  <c:v>10</c:v>
                </c:pt>
                <c:pt idx="5">
                  <c:v>7</c:v>
                </c:pt>
                <c:pt idx="6">
                  <c:v>0</c:v>
                </c:pt>
                <c:pt idx="7">
                  <c:v>3</c:v>
                </c:pt>
              </c:numCache>
            </c:numRef>
          </c:val>
        </c:ser>
        <c:axId val="77279616"/>
        <c:axId val="77296768"/>
      </c:barChart>
      <c:catAx>
        <c:axId val="77279616"/>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de-DE"/>
          </a:p>
        </c:txPr>
        <c:crossAx val="77296768"/>
        <c:crosses val="autoZero"/>
        <c:auto val="1"/>
        <c:lblAlgn val="ctr"/>
        <c:lblOffset val="100"/>
        <c:tickLblSkip val="1"/>
        <c:tickMarkSkip val="1"/>
      </c:catAx>
      <c:valAx>
        <c:axId val="77296768"/>
        <c:scaling>
          <c:orientation val="minMax"/>
        </c:scaling>
        <c:axPos val="l"/>
        <c:majorGridlines>
          <c:spPr>
            <a:ln w="3175">
              <a:solidFill>
                <a:srgbClr val="000000"/>
              </a:solidFill>
              <a:prstDash val="solid"/>
            </a:ln>
          </c:spPr>
        </c:majorGridlines>
        <c:numFmt formatCode="#,##0\ &quot; Schüler&quot;"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de-DE"/>
          </a:p>
        </c:txPr>
        <c:crossAx val="7727961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de-DE"/>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sz="800" b="1" i="0" u="none" strike="noStrike" baseline="0">
                <a:solidFill>
                  <a:srgbClr val="000000"/>
                </a:solidFill>
                <a:latin typeface="Arial"/>
                <a:ea typeface="Arial"/>
                <a:cs typeface="Arial"/>
              </a:defRPr>
            </a:pPr>
            <a:r>
              <a:rPr lang="de-DE"/>
              <a:t>H10a/Nichtversetzung/Fächer</a:t>
            </a:r>
          </a:p>
        </c:rich>
      </c:tx>
      <c:layout>
        <c:manualLayout>
          <c:xMode val="edge"/>
          <c:yMode val="edge"/>
          <c:x val="0.28739383538596153"/>
          <c:y val="5.0204190577872676E-2"/>
        </c:manualLayout>
      </c:layout>
      <c:spPr>
        <a:noFill/>
        <a:ln w="25400">
          <a:noFill/>
        </a:ln>
      </c:spPr>
    </c:title>
    <c:plotArea>
      <c:layout>
        <c:manualLayout>
          <c:layoutTarget val="inner"/>
          <c:xMode val="edge"/>
          <c:yMode val="edge"/>
          <c:x val="9.9359285354333665E-2"/>
          <c:y val="0.26732737886607288"/>
          <c:w val="0.85577190934216452"/>
          <c:h val="0.47029816652364681"/>
        </c:manualLayout>
      </c:layout>
      <c:barChart>
        <c:barDir val="col"/>
        <c:grouping val="clustered"/>
        <c:ser>
          <c:idx val="0"/>
          <c:order val="0"/>
          <c:spPr>
            <a:solidFill>
              <a:srgbClr val="9999FF"/>
            </a:solidFill>
            <a:ln w="12700">
              <a:solidFill>
                <a:srgbClr val="000000"/>
              </a:solidFill>
              <a:prstDash val="solid"/>
            </a:ln>
          </c:spPr>
          <c:cat>
            <c:strRef>
              <c:f>Tabelle1!$A$8:$A$17</c:f>
              <c:strCache>
                <c:ptCount val="10"/>
                <c:pt idx="0">
                  <c:v>DEU</c:v>
                </c:pt>
                <c:pt idx="1">
                  <c:v>FRZ</c:v>
                </c:pt>
                <c:pt idx="2">
                  <c:v>MAT</c:v>
                </c:pt>
                <c:pt idx="3">
                  <c:v>WIL</c:v>
                </c:pt>
                <c:pt idx="4">
                  <c:v>REW</c:v>
                </c:pt>
                <c:pt idx="5">
                  <c:v>SOK</c:v>
                </c:pt>
                <c:pt idx="6">
                  <c:v>DAV</c:v>
                </c:pt>
                <c:pt idx="7">
                  <c:v>ART</c:v>
                </c:pt>
                <c:pt idx="8">
                  <c:v>TXT</c:v>
                </c:pt>
                <c:pt idx="9">
                  <c:v>REL</c:v>
                </c:pt>
              </c:strCache>
            </c:strRef>
          </c:cat>
          <c:val>
            <c:numRef>
              <c:f>Tabelle1!$B$8:$B$17</c:f>
              <c:numCache>
                <c:formatCode>General</c:formatCode>
                <c:ptCount val="10"/>
                <c:pt idx="0">
                  <c:v>2</c:v>
                </c:pt>
                <c:pt idx="1">
                  <c:v>3</c:v>
                </c:pt>
                <c:pt idx="2">
                  <c:v>3</c:v>
                </c:pt>
                <c:pt idx="3">
                  <c:v>4</c:v>
                </c:pt>
                <c:pt idx="4">
                  <c:v>6</c:v>
                </c:pt>
                <c:pt idx="5">
                  <c:v>0</c:v>
                </c:pt>
                <c:pt idx="6">
                  <c:v>1</c:v>
                </c:pt>
                <c:pt idx="7">
                  <c:v>2</c:v>
                </c:pt>
                <c:pt idx="8">
                  <c:v>0</c:v>
                </c:pt>
                <c:pt idx="9">
                  <c:v>0</c:v>
                </c:pt>
              </c:numCache>
            </c:numRef>
          </c:val>
        </c:ser>
        <c:axId val="82096128"/>
        <c:axId val="82155776"/>
      </c:barChart>
      <c:catAx>
        <c:axId val="82096128"/>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de-DE"/>
          </a:p>
        </c:txPr>
        <c:crossAx val="82155776"/>
        <c:crosses val="autoZero"/>
        <c:auto val="1"/>
        <c:lblAlgn val="ctr"/>
        <c:lblOffset val="100"/>
        <c:tickLblSkip val="1"/>
        <c:tickMarkSkip val="1"/>
      </c:catAx>
      <c:valAx>
        <c:axId val="821557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de-DE"/>
          </a:p>
        </c:txPr>
        <c:crossAx val="8209612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de-DE"/>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sz="800" b="1" i="0" u="none" strike="noStrike" baseline="0">
                <a:solidFill>
                  <a:srgbClr val="000000"/>
                </a:solidFill>
                <a:latin typeface="Arial"/>
                <a:ea typeface="Arial"/>
                <a:cs typeface="Arial"/>
              </a:defRPr>
            </a:pPr>
            <a:r>
              <a:rPr lang="de-DE"/>
              <a:t>H10b/Nichtversetzung/Fächer</a:t>
            </a:r>
          </a:p>
        </c:rich>
      </c:tx>
      <c:layout>
        <c:manualLayout>
          <c:xMode val="edge"/>
          <c:yMode val="edge"/>
          <c:x val="0.24281183701877521"/>
          <c:y val="4.4118012219426961E-2"/>
        </c:manualLayout>
      </c:layout>
      <c:spPr>
        <a:noFill/>
        <a:ln w="25400">
          <a:noFill/>
        </a:ln>
      </c:spPr>
    </c:title>
    <c:plotArea>
      <c:layout>
        <c:manualLayout>
          <c:layoutTarget val="inner"/>
          <c:xMode val="edge"/>
          <c:yMode val="edge"/>
          <c:x val="9.9041688051754728E-2"/>
          <c:y val="0.26470714952488095"/>
          <c:w val="0.85623136767323482"/>
          <c:h val="0.47549247229469382"/>
        </c:manualLayout>
      </c:layout>
      <c:barChart>
        <c:barDir val="col"/>
        <c:grouping val="clustered"/>
        <c:ser>
          <c:idx val="0"/>
          <c:order val="0"/>
          <c:spPr>
            <a:solidFill>
              <a:srgbClr val="9999FF"/>
            </a:solidFill>
            <a:ln w="12700">
              <a:solidFill>
                <a:srgbClr val="000000"/>
              </a:solidFill>
              <a:prstDash val="solid"/>
            </a:ln>
          </c:spPr>
          <c:cat>
            <c:strRef>
              <c:f>Tabelle1!$D$8:$D$17</c:f>
              <c:strCache>
                <c:ptCount val="10"/>
                <c:pt idx="0">
                  <c:v>DEU</c:v>
                </c:pt>
                <c:pt idx="1">
                  <c:v>FRZ/EN</c:v>
                </c:pt>
                <c:pt idx="2">
                  <c:v>MAT</c:v>
                </c:pt>
                <c:pt idx="3">
                  <c:v>WIL</c:v>
                </c:pt>
                <c:pt idx="4">
                  <c:v>REW</c:v>
                </c:pt>
                <c:pt idx="5">
                  <c:v>SOK</c:v>
                </c:pt>
                <c:pt idx="6">
                  <c:v>DAV</c:v>
                </c:pt>
                <c:pt idx="7">
                  <c:v>ART</c:v>
                </c:pt>
                <c:pt idx="8">
                  <c:v>TXT</c:v>
                </c:pt>
                <c:pt idx="9">
                  <c:v>REL</c:v>
                </c:pt>
              </c:strCache>
            </c:strRef>
          </c:cat>
          <c:val>
            <c:numRef>
              <c:f>Tabelle1!$E$8:$E$17</c:f>
              <c:numCache>
                <c:formatCode>General</c:formatCode>
                <c:ptCount val="10"/>
                <c:pt idx="0">
                  <c:v>2</c:v>
                </c:pt>
                <c:pt idx="1">
                  <c:v>1</c:v>
                </c:pt>
                <c:pt idx="2">
                  <c:v>1</c:v>
                </c:pt>
                <c:pt idx="3">
                  <c:v>2</c:v>
                </c:pt>
                <c:pt idx="4">
                  <c:v>3</c:v>
                </c:pt>
                <c:pt idx="5">
                  <c:v>1</c:v>
                </c:pt>
                <c:pt idx="6">
                  <c:v>1</c:v>
                </c:pt>
                <c:pt idx="7">
                  <c:v>1</c:v>
                </c:pt>
                <c:pt idx="8">
                  <c:v>0</c:v>
                </c:pt>
                <c:pt idx="9">
                  <c:v>0</c:v>
                </c:pt>
              </c:numCache>
            </c:numRef>
          </c:val>
        </c:ser>
        <c:axId val="102781312"/>
        <c:axId val="103365248"/>
      </c:barChart>
      <c:catAx>
        <c:axId val="102781312"/>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de-DE"/>
          </a:p>
        </c:txPr>
        <c:crossAx val="103365248"/>
        <c:crosses val="autoZero"/>
        <c:auto val="1"/>
        <c:lblAlgn val="ctr"/>
        <c:lblOffset val="100"/>
        <c:tickLblSkip val="1"/>
        <c:tickMarkSkip val="1"/>
      </c:catAx>
      <c:valAx>
        <c:axId val="1033652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de-DE"/>
          </a:p>
        </c:txPr>
        <c:crossAx val="102781312"/>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de-DE"/>
    </a:p>
  </c:txPr>
  <c:externalData r:id="rId1"/>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B5CA-E34C-4651-87B0-F67F122B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6</cp:revision>
  <cp:lastPrinted>2013-11-05T14:25:00Z</cp:lastPrinted>
  <dcterms:created xsi:type="dcterms:W3CDTF">2018-06-24T13:36:00Z</dcterms:created>
  <dcterms:modified xsi:type="dcterms:W3CDTF">2018-06-24T13:54:00Z</dcterms:modified>
</cp:coreProperties>
</file>