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2C" w:rsidRPr="00904130" w:rsidRDefault="008D532C" w:rsidP="008D532C">
      <w:pPr>
        <w:rPr>
          <w:rFonts w:ascii="Tahoma" w:hAnsi="Tahoma" w:cs="Tahoma"/>
          <w:b/>
        </w:rPr>
      </w:pPr>
      <w:r w:rsidRPr="00904130">
        <w:rPr>
          <w:rFonts w:ascii="Tahoma" w:hAnsi="Tahoma" w:cs="Tahoma"/>
          <w:b/>
        </w:rPr>
        <w:t>Analyse der Ursachen unter Beachtung der Schwellenwerte und Vergleich zum Vorjahr</w:t>
      </w:r>
    </w:p>
    <w:p w:rsidR="008D532C" w:rsidRDefault="008D532C" w:rsidP="008D532C">
      <w:pPr>
        <w:rPr>
          <w:rFonts w:ascii="Tahoma" w:hAnsi="Tahoma" w:cs="Tahoma"/>
          <w:b/>
        </w:rPr>
      </w:pPr>
    </w:p>
    <w:p w:rsidR="008D532C" w:rsidRPr="00AA46F8" w:rsidRDefault="008D532C" w:rsidP="008D532C">
      <w:pPr>
        <w:rPr>
          <w:rFonts w:ascii="Tahoma" w:hAnsi="Tahoma" w:cs="Tahoma"/>
          <w:b/>
        </w:rPr>
      </w:pPr>
      <w:r w:rsidRPr="00AA46F8">
        <w:rPr>
          <w:rFonts w:ascii="Tahoma" w:hAnsi="Tahoma" w:cs="Tahoma"/>
          <w:b/>
        </w:rPr>
        <w:t>Schwellenwert</w:t>
      </w:r>
      <w:r>
        <w:rPr>
          <w:rFonts w:ascii="Tahoma" w:hAnsi="Tahoma" w:cs="Tahoma"/>
          <w:b/>
        </w:rPr>
        <w:t xml:space="preserve"> alt: 75 Veranstaltungen, 67% der Kollegen</w:t>
      </w:r>
    </w:p>
    <w:p w:rsidR="008D532C" w:rsidRDefault="008D532C" w:rsidP="008D532C">
      <w:pPr>
        <w:rPr>
          <w:rFonts w:ascii="Tahoma" w:hAnsi="Tahoma" w:cs="Tahoma"/>
          <w:b/>
        </w:rPr>
      </w:pPr>
    </w:p>
    <w:p w:rsidR="008D532C" w:rsidRDefault="008D532C" w:rsidP="008D532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Analyse</w:t>
      </w:r>
      <w:r w:rsidRPr="00AA46F8">
        <w:rPr>
          <w:rFonts w:ascii="Tahoma" w:hAnsi="Tahoma" w:cs="Tahoma"/>
          <w:b/>
        </w:rPr>
        <w:t>:</w:t>
      </w:r>
    </w:p>
    <w:p w:rsidR="00935DCE" w:rsidRDefault="008D532C" w:rsidP="008D53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Es sind insgesamt </w:t>
      </w:r>
      <w:r w:rsidR="00935DCE">
        <w:rPr>
          <w:rFonts w:ascii="Tahoma" w:hAnsi="Tahoma" w:cs="Tahoma"/>
        </w:rPr>
        <w:t>15</w:t>
      </w:r>
      <w:r w:rsidR="00E0073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(VJ: </w:t>
      </w:r>
      <w:r w:rsidR="00935DCE">
        <w:rPr>
          <w:rFonts w:ascii="Tahoma" w:hAnsi="Tahoma" w:cs="Tahoma"/>
        </w:rPr>
        <w:t>141</w:t>
      </w:r>
      <w:r>
        <w:rPr>
          <w:rFonts w:ascii="Tahoma" w:hAnsi="Tahoma" w:cs="Tahoma"/>
        </w:rPr>
        <w:t>) Veranstaltungen besucht worden. Diese 1</w:t>
      </w:r>
      <w:r w:rsidR="00935DCE">
        <w:rPr>
          <w:rFonts w:ascii="Tahoma" w:hAnsi="Tahoma" w:cs="Tahoma"/>
        </w:rPr>
        <w:t>5</w:t>
      </w:r>
      <w:r w:rsidR="00E0073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Veranstaltu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gen sind von </w:t>
      </w:r>
      <w:r w:rsidR="00935DCE">
        <w:rPr>
          <w:rFonts w:ascii="Tahoma" w:hAnsi="Tahoma" w:cs="Tahoma"/>
        </w:rPr>
        <w:t>51</w:t>
      </w:r>
      <w:r>
        <w:rPr>
          <w:rFonts w:ascii="Tahoma" w:hAnsi="Tahoma" w:cs="Tahoma"/>
        </w:rPr>
        <w:t xml:space="preserve"> Lehrkräften (VJ: </w:t>
      </w:r>
      <w:r w:rsidR="00935DCE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) besucht </w:t>
      </w:r>
      <w:r w:rsidRPr="00731663">
        <w:rPr>
          <w:rFonts w:ascii="Tahoma" w:hAnsi="Tahoma" w:cs="Tahoma"/>
        </w:rPr>
        <w:t xml:space="preserve">worden, was </w:t>
      </w:r>
      <w:r w:rsidR="00935DCE">
        <w:rPr>
          <w:rFonts w:ascii="Tahoma" w:hAnsi="Tahoma" w:cs="Tahoma"/>
        </w:rPr>
        <w:t>91</w:t>
      </w:r>
      <w:r>
        <w:rPr>
          <w:rFonts w:ascii="Tahoma" w:hAnsi="Tahoma" w:cs="Tahoma"/>
        </w:rPr>
        <w:t xml:space="preserve"> </w:t>
      </w:r>
      <w:r w:rsidRPr="00731663">
        <w:rPr>
          <w:rFonts w:ascii="Tahoma" w:hAnsi="Tahoma" w:cs="Tahoma"/>
        </w:rPr>
        <w:t xml:space="preserve">% (VJ: </w:t>
      </w:r>
      <w:r w:rsidR="00935DCE">
        <w:rPr>
          <w:rFonts w:ascii="Tahoma" w:hAnsi="Tahoma" w:cs="Tahoma"/>
        </w:rPr>
        <w:t>40</w:t>
      </w:r>
      <w:r w:rsidRPr="00731663">
        <w:rPr>
          <w:rFonts w:ascii="Tahoma" w:hAnsi="Tahoma" w:cs="Tahoma"/>
        </w:rPr>
        <w:t xml:space="preserve"> %) der Lehrkräfte entspricht. </w:t>
      </w:r>
      <w:r w:rsidR="000C7568">
        <w:rPr>
          <w:rFonts w:ascii="Tahoma" w:hAnsi="Tahoma" w:cs="Tahoma"/>
        </w:rPr>
        <w:t>Damit sind beide Schwellenwerte erreicht und sogar weit überschritten worden. Das hängt u. a. damit zusammen, dass im Vorjahr der pädagogische Tag ausgefallen war und im SJ 17/18 einer zum Thema Leistungsbewertungserlass stattgefunden hat. Zum and</w:t>
      </w:r>
      <w:r w:rsidR="000C7568">
        <w:rPr>
          <w:rFonts w:ascii="Tahoma" w:hAnsi="Tahoma" w:cs="Tahoma"/>
        </w:rPr>
        <w:t>e</w:t>
      </w:r>
      <w:r w:rsidR="000C7568">
        <w:rPr>
          <w:rFonts w:ascii="Tahoma" w:hAnsi="Tahoma" w:cs="Tahoma"/>
        </w:rPr>
        <w:t>ren ist die Fortbildungsbereitschaft insgesamt sehr hoch im Kollegium. Mehr als zwei Drittel der Kollegen haben außer dem pädagogischen Tag mindestens eine Fortbildung besucht.</w:t>
      </w:r>
    </w:p>
    <w:p w:rsidR="000C7568" w:rsidRDefault="000C7568" w:rsidP="008D532C">
      <w:pPr>
        <w:rPr>
          <w:rFonts w:ascii="Tahoma" w:hAnsi="Tahoma" w:cs="Tahoma"/>
        </w:rPr>
      </w:pPr>
    </w:p>
    <w:p w:rsidR="00935DCE" w:rsidRDefault="00935DCE" w:rsidP="008D532C">
      <w:pPr>
        <w:rPr>
          <w:rFonts w:ascii="Tahoma" w:hAnsi="Tahoma" w:cs="Tahoma"/>
        </w:rPr>
      </w:pPr>
    </w:p>
    <w:p w:rsidR="00E00732" w:rsidRDefault="00E00732" w:rsidP="008D53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Gründe:</w:t>
      </w:r>
    </w:p>
    <w:p w:rsidR="008D532C" w:rsidRDefault="007A7CC1" w:rsidP="00E00732">
      <w:pPr>
        <w:pStyle w:val="Listenabsatz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Im SJ 2017/2018 hat am KBBZ eine hausinterne Fortbildung zum sprachsensiblen Fachunterricht stattgefunden, an der viele der Lehrkräfte teilgenommen haben.</w:t>
      </w:r>
    </w:p>
    <w:p w:rsidR="005536A8" w:rsidRDefault="005536A8" w:rsidP="00E00732">
      <w:pPr>
        <w:pStyle w:val="Listenabsatz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Im SJ 2017/2018 ist darüber hinaus auch wiederholt auf die PA Fortbildungen hi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gewiesen worden und den damit verbundenen Beurteilungsbogen. Die Vermutung liegt nahe, dass im Vorjahr nicht alle Fortbildungen bei d</w:t>
      </w:r>
      <w:r w:rsidR="00EB4A5A">
        <w:rPr>
          <w:rFonts w:ascii="Tahoma" w:hAnsi="Tahoma" w:cs="Tahoma"/>
        </w:rPr>
        <w:t>er Schulleitung gemeldet wurden, dieses Jahr aber schon.</w:t>
      </w:r>
      <w:bookmarkStart w:id="0" w:name="_GoBack"/>
      <w:bookmarkEnd w:id="0"/>
    </w:p>
    <w:p w:rsidR="005536A8" w:rsidRDefault="005536A8" w:rsidP="00E00732">
      <w:pPr>
        <w:pStyle w:val="Listenabsatz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hat ein pädagogischer Tag stattgefunden.</w:t>
      </w:r>
    </w:p>
    <w:p w:rsidR="008D532C" w:rsidRDefault="008D532C" w:rsidP="008D532C">
      <w:pPr>
        <w:jc w:val="both"/>
        <w:rPr>
          <w:rFonts w:ascii="Tahoma" w:hAnsi="Tahoma" w:cs="Tahoma"/>
        </w:rPr>
      </w:pPr>
    </w:p>
    <w:p w:rsidR="005536A8" w:rsidRDefault="00EB050E" w:rsidP="008D53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Schulleitung, Abteilungen und Fachkonferenzen haben das Kollegium fortlaufend auf i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teressante </w:t>
      </w:r>
      <w:r w:rsidR="003539DD">
        <w:rPr>
          <w:rFonts w:ascii="Tahoma" w:hAnsi="Tahoma" w:cs="Tahoma"/>
        </w:rPr>
        <w:t xml:space="preserve">und notwendige </w:t>
      </w:r>
      <w:r>
        <w:rPr>
          <w:rFonts w:ascii="Tahoma" w:hAnsi="Tahoma" w:cs="Tahoma"/>
        </w:rPr>
        <w:t>Fortbildungen aufmerksam gemacht. Es gilt weiterhin, dass</w:t>
      </w:r>
      <w:r w:rsidR="008D532C">
        <w:rPr>
          <w:rFonts w:ascii="Tahoma" w:hAnsi="Tahoma" w:cs="Tahoma"/>
        </w:rPr>
        <w:t xml:space="preserve"> im Berufsfeld Wirtschaft und Verwaltung die meisten Fortbildungen übergreifend für alle Schu</w:t>
      </w:r>
      <w:r w:rsidR="008D532C">
        <w:rPr>
          <w:rFonts w:ascii="Tahoma" w:hAnsi="Tahoma" w:cs="Tahoma"/>
        </w:rPr>
        <w:t>l</w:t>
      </w:r>
      <w:r w:rsidR="008D532C">
        <w:rPr>
          <w:rFonts w:ascii="Tahoma" w:hAnsi="Tahoma" w:cs="Tahoma"/>
        </w:rPr>
        <w:t xml:space="preserve">formen </w:t>
      </w:r>
      <w:r>
        <w:rPr>
          <w:rFonts w:ascii="Tahoma" w:hAnsi="Tahoma" w:cs="Tahoma"/>
        </w:rPr>
        <w:t>angeboten werden</w:t>
      </w:r>
      <w:r w:rsidR="008D532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5536A8" w:rsidRDefault="005536A8" w:rsidP="008D532C">
      <w:pPr>
        <w:jc w:val="both"/>
        <w:rPr>
          <w:rFonts w:ascii="Tahoma" w:hAnsi="Tahoma" w:cs="Tahoma"/>
        </w:rPr>
      </w:pPr>
    </w:p>
    <w:p w:rsidR="008D532C" w:rsidRPr="00997A53" w:rsidRDefault="00EB050E" w:rsidP="008D532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Der Schwerpunkt der Fortbildungen lag eindeutig im Bereich „Deutsch als Fremdsprache, sprachsensibler Unterricht“</w:t>
      </w:r>
      <w:r w:rsidR="005536A8">
        <w:rPr>
          <w:rFonts w:ascii="Tahoma" w:hAnsi="Tahoma" w:cs="Tahoma"/>
        </w:rPr>
        <w:t>, Umsetzung des LBE</w:t>
      </w:r>
      <w:r>
        <w:rPr>
          <w:rFonts w:ascii="Tahoma" w:hAnsi="Tahoma" w:cs="Tahoma"/>
        </w:rPr>
        <w:t xml:space="preserve"> und der Fortbildungsreihe für Funktionstr</w:t>
      </w:r>
      <w:r>
        <w:rPr>
          <w:rFonts w:ascii="Tahoma" w:hAnsi="Tahoma" w:cs="Tahoma"/>
        </w:rPr>
        <w:t>ä</w:t>
      </w:r>
      <w:r>
        <w:rPr>
          <w:rFonts w:ascii="Tahoma" w:hAnsi="Tahoma" w:cs="Tahoma"/>
        </w:rPr>
        <w:t>ger</w:t>
      </w:r>
      <w:r w:rsidR="005536A8">
        <w:rPr>
          <w:rFonts w:ascii="Tahoma" w:hAnsi="Tahoma" w:cs="Tahoma"/>
        </w:rPr>
        <w:t>.</w:t>
      </w:r>
      <w:r w:rsidR="008D532C">
        <w:rPr>
          <w:rFonts w:ascii="Tahoma" w:hAnsi="Tahoma" w:cs="Tahoma"/>
        </w:rPr>
        <w:t xml:space="preserve"> </w:t>
      </w:r>
    </w:p>
    <w:p w:rsidR="008D532C" w:rsidRDefault="008D532C" w:rsidP="008D532C">
      <w:pPr>
        <w:rPr>
          <w:rFonts w:ascii="Tahoma" w:hAnsi="Tahoma" w:cs="Tahoma"/>
          <w:strike/>
        </w:rPr>
      </w:pPr>
    </w:p>
    <w:p w:rsidR="008D532C" w:rsidRPr="00747C1B" w:rsidRDefault="008D532C" w:rsidP="008D532C">
      <w:pPr>
        <w:rPr>
          <w:rFonts w:ascii="Tahoma" w:hAnsi="Tahoma" w:cs="Tahoma"/>
          <w:b/>
        </w:rPr>
      </w:pPr>
      <w:r w:rsidRPr="00747C1B">
        <w:rPr>
          <w:rFonts w:ascii="Tahoma" w:hAnsi="Tahoma" w:cs="Tahoma"/>
          <w:b/>
        </w:rPr>
        <w:t>Maßnahme</w:t>
      </w:r>
      <w:r>
        <w:rPr>
          <w:rFonts w:ascii="Tahoma" w:hAnsi="Tahoma" w:cs="Tahoma"/>
          <w:b/>
        </w:rPr>
        <w:t>n</w:t>
      </w:r>
      <w:r w:rsidRPr="00747C1B">
        <w:rPr>
          <w:rFonts w:ascii="Tahoma" w:hAnsi="Tahoma" w:cs="Tahoma"/>
          <w:b/>
        </w:rPr>
        <w:t xml:space="preserve">: </w:t>
      </w:r>
      <w:r w:rsidRPr="001A5894">
        <w:rPr>
          <w:rFonts w:ascii="Tahoma" w:hAnsi="Tahoma" w:cs="Tahoma"/>
          <w:b/>
          <w:color w:val="FF0000"/>
        </w:rPr>
        <w:br/>
      </w:r>
    </w:p>
    <w:p w:rsidR="00EB050E" w:rsidRDefault="00EB050E" w:rsidP="008D532C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Es findet ein pädagogischer Tag statt.</w:t>
      </w:r>
      <w:r w:rsidR="007A7CC1">
        <w:rPr>
          <w:rFonts w:ascii="Tahoma" w:hAnsi="Tahoma" w:cs="Tahoma"/>
        </w:rPr>
        <w:t xml:space="preserve"> Das Thema muss noch festgelegt werden.</w:t>
      </w:r>
    </w:p>
    <w:p w:rsidR="00EB050E" w:rsidRDefault="00EB050E" w:rsidP="00EB050E">
      <w:pPr>
        <w:pStyle w:val="Listenabsatz"/>
        <w:ind w:left="426"/>
        <w:rPr>
          <w:rFonts w:ascii="Tahoma" w:hAnsi="Tahoma" w:cs="Tahoma"/>
        </w:rPr>
      </w:pPr>
    </w:p>
    <w:p w:rsidR="008D532C" w:rsidRPr="00A569CD" w:rsidRDefault="008D532C" w:rsidP="008D532C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</w:rPr>
      </w:pPr>
      <w:r w:rsidRPr="00A569CD">
        <w:rPr>
          <w:rFonts w:ascii="Tahoma" w:hAnsi="Tahoma" w:cs="Tahoma"/>
        </w:rPr>
        <w:t>Es werden verstärkt Aushänge mit Hinweisen auf besonders interessante Veranstaltu</w:t>
      </w:r>
      <w:r w:rsidRPr="00A569CD">
        <w:rPr>
          <w:rFonts w:ascii="Tahoma" w:hAnsi="Tahoma" w:cs="Tahoma"/>
        </w:rPr>
        <w:t>n</w:t>
      </w:r>
      <w:r w:rsidRPr="00A569CD">
        <w:rPr>
          <w:rFonts w:ascii="Tahoma" w:hAnsi="Tahoma" w:cs="Tahoma"/>
        </w:rPr>
        <w:t>gen am Schwarzen Brett erfolgen. Falls erforderlich, werden den Fachkonferenzvorsi</w:t>
      </w:r>
      <w:r w:rsidRPr="00A569CD">
        <w:rPr>
          <w:rFonts w:ascii="Tahoma" w:hAnsi="Tahoma" w:cs="Tahoma"/>
        </w:rPr>
        <w:t>t</w:t>
      </w:r>
      <w:r w:rsidRPr="00A569CD">
        <w:rPr>
          <w:rFonts w:ascii="Tahoma" w:hAnsi="Tahoma" w:cs="Tahoma"/>
        </w:rPr>
        <w:t>zenden die Veranstaltungen zugemailt um die Informationen gezielt weitergeben zu kö</w:t>
      </w:r>
      <w:r w:rsidRPr="00A569CD">
        <w:rPr>
          <w:rFonts w:ascii="Tahoma" w:hAnsi="Tahoma" w:cs="Tahoma"/>
        </w:rPr>
        <w:t>n</w:t>
      </w:r>
      <w:r w:rsidRPr="00A569CD">
        <w:rPr>
          <w:rFonts w:ascii="Tahoma" w:hAnsi="Tahoma" w:cs="Tahoma"/>
        </w:rPr>
        <w:t>nen.</w:t>
      </w:r>
      <w:r w:rsidRPr="00A569CD">
        <w:rPr>
          <w:rFonts w:ascii="Tahoma" w:hAnsi="Tahoma" w:cs="Tahoma"/>
        </w:rPr>
        <w:br/>
      </w:r>
    </w:p>
    <w:p w:rsidR="008D532C" w:rsidRPr="00A569CD" w:rsidRDefault="008D532C" w:rsidP="008D532C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</w:rPr>
      </w:pPr>
      <w:r w:rsidRPr="00A569CD">
        <w:rPr>
          <w:rFonts w:ascii="Tahoma" w:hAnsi="Tahoma" w:cs="Tahoma"/>
        </w:rPr>
        <w:lastRenderedPageBreak/>
        <w:t>In Einzelfällen werden Kolleginnen und Kollegen konkret angesprochen, wenn es sinnvoll erscheint.</w:t>
      </w:r>
      <w:r w:rsidRPr="00A569CD">
        <w:rPr>
          <w:rFonts w:ascii="Tahoma" w:hAnsi="Tahoma" w:cs="Tahoma"/>
        </w:rPr>
        <w:br/>
      </w:r>
    </w:p>
    <w:p w:rsidR="008D532C" w:rsidRPr="00A569CD" w:rsidRDefault="008D532C" w:rsidP="008D532C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</w:rPr>
      </w:pPr>
      <w:r w:rsidRPr="00A569CD">
        <w:rPr>
          <w:rFonts w:ascii="Tahoma" w:hAnsi="Tahoma" w:cs="Tahoma"/>
        </w:rPr>
        <w:t xml:space="preserve">Es werden nach Bedarf interne Schulungen angeboten, z. B. im Bereich </w:t>
      </w:r>
      <w:r w:rsidR="00EB050E">
        <w:rPr>
          <w:rFonts w:ascii="Tahoma" w:hAnsi="Tahoma" w:cs="Tahoma"/>
        </w:rPr>
        <w:t xml:space="preserve">sprachsensibler Unterricht, LBE, </w:t>
      </w:r>
      <w:r w:rsidRPr="00A569CD">
        <w:rPr>
          <w:rFonts w:ascii="Tahoma" w:hAnsi="Tahoma" w:cs="Tahoma"/>
        </w:rPr>
        <w:t>Magellan</w:t>
      </w:r>
      <w:r w:rsidR="00256CFE">
        <w:rPr>
          <w:rFonts w:ascii="Tahoma" w:hAnsi="Tahoma" w:cs="Tahoma"/>
        </w:rPr>
        <w:t xml:space="preserve"> </w:t>
      </w:r>
      <w:r w:rsidR="00256CFE" w:rsidRPr="003539DD">
        <w:rPr>
          <w:rFonts w:ascii="Tahoma" w:hAnsi="Tahoma" w:cs="Tahoma"/>
        </w:rPr>
        <w:t xml:space="preserve">und </w:t>
      </w:r>
      <w:r w:rsidR="003A76BD" w:rsidRPr="003539DD">
        <w:rPr>
          <w:rFonts w:ascii="Tahoma" w:hAnsi="Tahoma" w:cs="Tahoma"/>
        </w:rPr>
        <w:t>im Bereich Konflikt-Kultur in Klassen</w:t>
      </w:r>
      <w:r w:rsidRPr="003539DD">
        <w:rPr>
          <w:rFonts w:ascii="Tahoma" w:hAnsi="Tahoma" w:cs="Tahoma"/>
        </w:rPr>
        <w:t>.</w:t>
      </w:r>
      <w:r w:rsidRPr="00A569CD">
        <w:rPr>
          <w:rFonts w:ascii="Tahoma" w:hAnsi="Tahoma" w:cs="Tahoma"/>
        </w:rPr>
        <w:br/>
      </w:r>
    </w:p>
    <w:p w:rsidR="008D532C" w:rsidRPr="00A569CD" w:rsidRDefault="008D532C" w:rsidP="008D532C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</w:rPr>
      </w:pPr>
      <w:r w:rsidRPr="00A569CD">
        <w:rPr>
          <w:rFonts w:ascii="Tahoma" w:hAnsi="Tahoma" w:cs="Tahoma"/>
        </w:rPr>
        <w:t>Die Fachkonferenzvorsitzenden geben dem LTB Rückmeldung, inwieweit durch die Fac</w:t>
      </w:r>
      <w:r w:rsidRPr="00A569CD">
        <w:rPr>
          <w:rFonts w:ascii="Tahoma" w:hAnsi="Tahoma" w:cs="Tahoma"/>
        </w:rPr>
        <w:t>h</w:t>
      </w:r>
      <w:r w:rsidRPr="00A569CD">
        <w:rPr>
          <w:rFonts w:ascii="Tahoma" w:hAnsi="Tahoma" w:cs="Tahoma"/>
        </w:rPr>
        <w:t>konferenz Fortbildungen multipliziert wurden.</w:t>
      </w:r>
    </w:p>
    <w:p w:rsidR="008D532C" w:rsidRPr="00A569CD" w:rsidRDefault="008D532C" w:rsidP="008D532C">
      <w:pPr>
        <w:pStyle w:val="Listenabsatz"/>
        <w:ind w:left="426"/>
        <w:rPr>
          <w:rFonts w:ascii="Tahoma" w:hAnsi="Tahoma" w:cs="Tahoma"/>
        </w:rPr>
      </w:pPr>
    </w:p>
    <w:p w:rsidR="008D532C" w:rsidRPr="00AA46F8" w:rsidRDefault="008D532C" w:rsidP="008D532C">
      <w:pPr>
        <w:rPr>
          <w:rFonts w:ascii="Tahoma" w:hAnsi="Tahoma" w:cs="Tahoma"/>
          <w:b/>
        </w:rPr>
      </w:pPr>
      <w:r w:rsidRPr="00AA46F8">
        <w:rPr>
          <w:rFonts w:ascii="Tahoma" w:hAnsi="Tahoma" w:cs="Tahoma"/>
          <w:b/>
        </w:rPr>
        <w:t>Schwellenwert</w:t>
      </w:r>
      <w:r>
        <w:rPr>
          <w:rFonts w:ascii="Tahoma" w:hAnsi="Tahoma" w:cs="Tahoma"/>
          <w:b/>
        </w:rPr>
        <w:t xml:space="preserve"> neu: 75 Veranstaltungen, 67% der Kollegen </w:t>
      </w:r>
    </w:p>
    <w:p w:rsidR="008D532C" w:rsidRDefault="008D532C" w:rsidP="008D532C">
      <w:pPr>
        <w:rPr>
          <w:rFonts w:ascii="Tahoma" w:hAnsi="Tahoma" w:cs="Tahoma"/>
        </w:rPr>
      </w:pPr>
      <w:r>
        <w:rPr>
          <w:rFonts w:ascii="Tahoma" w:hAnsi="Tahoma" w:cs="Tahoma"/>
        </w:rPr>
        <w:t>Mindestens 75</w:t>
      </w:r>
      <w:r w:rsidRPr="00904130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erschiedene Veranstaltungen sollen im Schuljahr 201</w:t>
      </w:r>
      <w:r w:rsidR="005536A8">
        <w:rPr>
          <w:rFonts w:ascii="Tahoma" w:hAnsi="Tahoma" w:cs="Tahoma"/>
        </w:rPr>
        <w:t>8</w:t>
      </w:r>
      <w:r>
        <w:rPr>
          <w:rFonts w:ascii="Tahoma" w:hAnsi="Tahoma" w:cs="Tahoma"/>
        </w:rPr>
        <w:t>/1</w:t>
      </w:r>
      <w:r w:rsidR="005536A8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von verschiedenen Kollegen besucht worden sein.</w:t>
      </w:r>
    </w:p>
    <w:p w:rsidR="008D532C" w:rsidRDefault="008D532C" w:rsidP="008D532C">
      <w:r>
        <w:rPr>
          <w:rFonts w:ascii="Tahoma" w:hAnsi="Tahoma" w:cs="Tahoma"/>
        </w:rPr>
        <w:t xml:space="preserve">Mindestens </w:t>
      </w:r>
      <w:r w:rsidRPr="00731663">
        <w:rPr>
          <w:rFonts w:ascii="Tahoma" w:hAnsi="Tahoma" w:cs="Tahoma"/>
        </w:rPr>
        <w:t>67 %</w:t>
      </w:r>
      <w:r>
        <w:rPr>
          <w:rFonts w:ascii="Tahoma" w:hAnsi="Tahoma" w:cs="Tahoma"/>
        </w:rPr>
        <w:t xml:space="preserve"> der Kollegen sollen an einer Fortbildung teilgenommen haben</w:t>
      </w:r>
      <w:r>
        <w:t xml:space="preserve"> </w:t>
      </w:r>
    </w:p>
    <w:p w:rsidR="00E85C79" w:rsidRDefault="00E85C79" w:rsidP="008D532C"/>
    <w:tbl>
      <w:tblPr>
        <w:tblW w:w="290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3541"/>
        <w:gridCol w:w="1437"/>
        <w:gridCol w:w="586"/>
        <w:gridCol w:w="500"/>
        <w:gridCol w:w="443"/>
        <w:gridCol w:w="591"/>
        <w:gridCol w:w="867"/>
        <w:gridCol w:w="1049"/>
      </w:tblGrid>
      <w:tr w:rsidR="00E85C79" w:rsidRPr="006D3078" w:rsidTr="0031752E">
        <w:trPr>
          <w:trHeight w:val="339"/>
        </w:trPr>
        <w:tc>
          <w:tcPr>
            <w:tcW w:w="25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Default="00E85C79" w:rsidP="0031752E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</w:p>
          <w:p w:rsidR="00E85C79" w:rsidRDefault="00E85C79" w:rsidP="0031752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D307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Fortbildungsveranstaltungen</w:t>
            </w:r>
          </w:p>
          <w:p w:rsidR="00E85C79" w:rsidRPr="006D3078" w:rsidRDefault="00E85C79" w:rsidP="0031752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D307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(gesamt)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C79" w:rsidRPr="006D3078" w:rsidTr="0031752E">
        <w:trPr>
          <w:trHeight w:val="339"/>
        </w:trPr>
        <w:tc>
          <w:tcPr>
            <w:tcW w:w="2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880"/>
              <w:gridCol w:w="1900"/>
            </w:tblGrid>
            <w:tr w:rsidR="002A3BA0" w:rsidRPr="002A3BA0" w:rsidTr="002A3BA0">
              <w:trPr>
                <w:trHeight w:val="750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3BA0" w:rsidRPr="002A3BA0" w:rsidRDefault="002A3BA0" w:rsidP="002A3BA0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3BA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Anzahl der Teilnehmer/innen an</w:t>
                  </w:r>
                  <w:r w:rsidRPr="002A3BA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br/>
                    <w:t>Fortbildungsveranstaltungen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BA0" w:rsidRPr="002A3BA0" w:rsidRDefault="002A3BA0" w:rsidP="002A3B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A3BA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51</w:t>
                  </w:r>
                </w:p>
              </w:tc>
            </w:tr>
            <w:tr w:rsidR="002A3BA0" w:rsidRPr="002A3BA0" w:rsidTr="002A3BA0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BA0" w:rsidRPr="002A3BA0" w:rsidRDefault="002A3BA0" w:rsidP="002A3B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BA0" w:rsidRPr="002A3BA0" w:rsidRDefault="002A3BA0" w:rsidP="002A3BA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3BA0" w:rsidRPr="002A3BA0" w:rsidTr="002A3BA0">
              <w:trPr>
                <w:trHeight w:val="750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3BA0" w:rsidRPr="002A3BA0" w:rsidRDefault="002A3BA0" w:rsidP="002A3BA0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3BA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besuchte</w:t>
                  </w:r>
                  <w:r w:rsidRPr="002A3BA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br/>
                    <w:t>Fortbildungsveranstaltungen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BA0" w:rsidRPr="002A3BA0" w:rsidRDefault="002A3BA0" w:rsidP="002A3B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A3BA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151</w:t>
                  </w:r>
                </w:p>
              </w:tc>
            </w:tr>
            <w:tr w:rsidR="002A3BA0" w:rsidRPr="002A3BA0" w:rsidTr="002A3BA0">
              <w:trPr>
                <w:trHeight w:val="375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3BA0" w:rsidRPr="002A3BA0" w:rsidRDefault="002A3BA0" w:rsidP="002A3BA0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BA0" w:rsidRPr="002A3BA0" w:rsidRDefault="002A3BA0" w:rsidP="002A3BA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3BA0" w:rsidRPr="002A3BA0" w:rsidTr="002A3BA0">
              <w:trPr>
                <w:trHeight w:val="750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3BA0" w:rsidRPr="002A3BA0" w:rsidRDefault="002A3BA0" w:rsidP="002A3BA0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3BA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Anzahl Kollegium</w:t>
                  </w:r>
                  <w:r w:rsidRPr="002A3BA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br/>
                    <w:t>(Stand: 22.06.2018)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BA0" w:rsidRPr="002A3BA0" w:rsidRDefault="002A3BA0" w:rsidP="002A3B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A3BA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56</w:t>
                  </w:r>
                </w:p>
              </w:tc>
            </w:tr>
            <w:tr w:rsidR="002A3BA0" w:rsidRPr="002A3BA0" w:rsidTr="002A3BA0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BA0" w:rsidRPr="002A3BA0" w:rsidRDefault="002A3BA0" w:rsidP="002A3B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BA0" w:rsidRPr="002A3BA0" w:rsidRDefault="002A3BA0" w:rsidP="002A3B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3BA0" w:rsidRPr="002A3BA0" w:rsidTr="002A3BA0">
              <w:trPr>
                <w:trHeight w:val="750"/>
              </w:trPr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3BA0" w:rsidRPr="002A3BA0" w:rsidRDefault="002A3BA0" w:rsidP="002A3BA0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2A3BA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prozentuale Beteiligung</w:t>
                  </w:r>
                  <w:r w:rsidRPr="002A3BA0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br/>
                    <w:t>des Kollegiums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BA0" w:rsidRPr="002A3BA0" w:rsidRDefault="002A3BA0" w:rsidP="002A3BA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A3BA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91%</w:t>
                  </w:r>
                </w:p>
              </w:tc>
            </w:tr>
          </w:tbl>
          <w:p w:rsidR="00E85C79" w:rsidRPr="006D3078" w:rsidRDefault="00E85C79" w:rsidP="0031752E">
            <w:pPr>
              <w:rPr>
                <w:rFonts w:ascii="Calibri" w:hAnsi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C79" w:rsidRPr="006D3078" w:rsidTr="0031752E">
        <w:trPr>
          <w:trHeight w:val="179"/>
        </w:trPr>
        <w:tc>
          <w:tcPr>
            <w:tcW w:w="2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79" w:rsidRPr="006D3078" w:rsidRDefault="00E85C79" w:rsidP="003175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85C79" w:rsidRDefault="00E85C79" w:rsidP="008D532C"/>
    <w:p w:rsidR="00E85C79" w:rsidRDefault="00E85C79">
      <w:r>
        <w:br w:type="page"/>
      </w:r>
    </w:p>
    <w:p w:rsidR="00E85C79" w:rsidRDefault="002A3BA0">
      <w:r>
        <w:rPr>
          <w:noProof/>
        </w:rPr>
        <w:object w:dxaOrig="8024" w:dyaOrig="6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306pt" o:ole="">
            <v:imagedata r:id="rId8" o:title=""/>
          </v:shape>
          <o:OLEObject Type="Embed" ProgID="Excel.Sheet.12" ShapeID="_x0000_i1025" DrawAspect="Content" ObjectID="_1605449063" r:id="rId9"/>
        </w:object>
      </w:r>
    </w:p>
    <w:p w:rsidR="00E85C79" w:rsidRDefault="00E85C79"/>
    <w:p w:rsidR="00E85C79" w:rsidRDefault="00E85C79" w:rsidP="008D532C"/>
    <w:p w:rsidR="00E85C79" w:rsidRDefault="00E85C79" w:rsidP="008D532C"/>
    <w:p w:rsidR="00E85C79" w:rsidRDefault="00E85C79" w:rsidP="008D532C"/>
    <w:p w:rsidR="00E85C79" w:rsidRDefault="00E85C79" w:rsidP="008D532C"/>
    <w:tbl>
      <w:tblPr>
        <w:tblW w:w="290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3541"/>
        <w:gridCol w:w="1437"/>
        <w:gridCol w:w="586"/>
        <w:gridCol w:w="500"/>
        <w:gridCol w:w="443"/>
        <w:gridCol w:w="591"/>
        <w:gridCol w:w="867"/>
        <w:gridCol w:w="1049"/>
      </w:tblGrid>
      <w:tr w:rsidR="0034349C" w:rsidRPr="006D3078" w:rsidTr="002C6BCF">
        <w:trPr>
          <w:trHeight w:val="179"/>
        </w:trPr>
        <w:tc>
          <w:tcPr>
            <w:tcW w:w="2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78" w:rsidRPr="006D3078" w:rsidRDefault="006D3078" w:rsidP="006D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78" w:rsidRPr="006D3078" w:rsidRDefault="006D3078" w:rsidP="006D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78" w:rsidRPr="006D3078" w:rsidRDefault="006D3078" w:rsidP="006D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78" w:rsidRPr="006D3078" w:rsidRDefault="006D3078" w:rsidP="006D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78" w:rsidRPr="006D3078" w:rsidRDefault="006D3078" w:rsidP="006D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78" w:rsidRPr="006D3078" w:rsidRDefault="006D3078" w:rsidP="006D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78" w:rsidRPr="006D3078" w:rsidRDefault="006D3078" w:rsidP="006D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78" w:rsidRPr="006D3078" w:rsidRDefault="006D3078" w:rsidP="006D3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C6BCF" w:rsidRDefault="002C6BCF" w:rsidP="002C6BCF">
      <w:pPr>
        <w:rPr>
          <w:rFonts w:ascii="Calibri" w:hAnsi="Calibri"/>
          <w:b/>
          <w:bCs/>
          <w:color w:val="000000"/>
          <w:sz w:val="28"/>
          <w:szCs w:val="28"/>
        </w:rPr>
        <w:sectPr w:rsidR="002C6BCF" w:rsidSect="008D532C">
          <w:headerReference w:type="default" r:id="rId10"/>
          <w:footerReference w:type="default" r:id="rId11"/>
          <w:pgSz w:w="11906" w:h="16838"/>
          <w:pgMar w:top="2353" w:right="566" w:bottom="1134" w:left="1417" w:header="285" w:footer="415" w:gutter="0"/>
          <w:cols w:space="708"/>
          <w:docGrid w:linePitch="360"/>
        </w:sectPr>
      </w:pPr>
    </w:p>
    <w:tbl>
      <w:tblPr>
        <w:tblW w:w="1407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2707"/>
        <w:gridCol w:w="1680"/>
        <w:gridCol w:w="989"/>
        <w:gridCol w:w="1394"/>
        <w:gridCol w:w="1083"/>
        <w:gridCol w:w="1082"/>
        <w:gridCol w:w="1083"/>
        <w:gridCol w:w="1082"/>
        <w:gridCol w:w="1082"/>
        <w:gridCol w:w="1083"/>
        <w:gridCol w:w="151"/>
        <w:gridCol w:w="9"/>
      </w:tblGrid>
      <w:tr w:rsidR="002A3BA0" w:rsidRPr="002A3BA0" w:rsidTr="0019396C">
        <w:tblPrEx>
          <w:tblCellMar>
            <w:top w:w="0" w:type="dxa"/>
            <w:bottom w:w="0" w:type="dxa"/>
          </w:tblCellMar>
        </w:tblPrEx>
        <w:trPr>
          <w:trHeight w:val="317"/>
          <w:tblHeader/>
        </w:trPr>
        <w:tc>
          <w:tcPr>
            <w:tcW w:w="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3BA0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Nr.</w:t>
            </w:r>
          </w:p>
        </w:tc>
        <w:tc>
          <w:tcPr>
            <w:tcW w:w="27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3BA0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Teilnehmer/in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3BA0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3BA0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Ort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3BA0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Nummer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3BA0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Thema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Birkenbach, Viola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12.04.2018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D1.405-1378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Selbstmanagement und Mitarbeiterführung II -Führungsseminar für Frauen im Schuldienst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D1.405-1378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Selbstmanagement und Mitarbeiterführung II -Führungsseminar für Frauen im Schuldienst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24.02.2018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D1.405-1178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Selbstmanagement und Mitarbeiterführung I -Führungsseminar für Frauen im Schuldienst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23.02.2018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D1.405-1178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Selbstmanagement und Mitarbeiterführung I -Führungsseminar für Frauen im Schuldienst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B1.402-2278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Lern-Team-Berater/innen 7: Lernfelddidaktik (Didaktik der beruflichen Bi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dung 2)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B1.402-1778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Lern-Team-Berater/innen 7: Handlungskompetenz (Didaktik der beruflichen Bildung 1)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13.11.2017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B1.402-2478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Verwaltungsmodul 3: Schulverwaltungssoftware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B5.112-0278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Wolfgang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Herrndorf:Tschick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(Pflichtlektüre Handelsschule)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B5.112-0178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Friedrich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Dürrenmatt:Romulus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der Große (Pflichtlektüre FOS)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Detzler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Hannelore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17.08.-18.08.2017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C1.327.0178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Seminardurchführung "Stark ins Leben"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Dierking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Janine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27.11.2017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B1.201-0578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Umsetzung des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Leistungsbewertungserlasses:Gr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. u.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kl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. Leistungsnachweise im Wirtschaft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lehreunterricht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Diete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H1.326-7778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Lehrergesundheit - Information über die Angebote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Diete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Diete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A4.181-0178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Tag des Berufsschulsports 2017 "Spielen"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Diete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A4.181-1178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Leistungsbewertung im Sportunterricht an Berufsschulen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Diete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B5.112-0178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Friedrich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Dürrenmatt:Romulus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der Große (Pflichtlektüre FOS)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Dittgen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Desiree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Donie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Andreas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18.04.2018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B1.402-4478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Landesarbeitsgemeinschaft der Beauftragten für Medienpädagogik 3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Donie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Andreas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06.02.2018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B1.402-3878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Landesarbeitsgemeinschaft der Beauftragten für Medienpädagogik 2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Donie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Andreas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B1.572-0578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Administratorenschulung logo DIDACT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Donie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Andreas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22.11.2017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B1.402-2078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Landesarbeitsgemeinschaft der Beauftragten für Medienpädagogik 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Eisenbart, 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Frech-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Weisgerber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Mar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Frech-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Weisgerber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Mar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19.09.2017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B1.201-1978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FOS plus ( Termin 3 )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Gonsior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Claudia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B5.152-0178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Neuer Lehrplan Mathematik Fachoberschule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Grewelinger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Heike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Haas, 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28.02. - 01.03.2018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A 1/28-02-18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Lehrergesundheit - Gut beraten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Haas, 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Haas, 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A4.181-00178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Tag des Berufsschulsports 2017 "Spielen"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Haas, 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A4.181-1178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Leistungsbewertung im Sportunterricht an Berufsschulen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Heinz, Michaela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Heinz, Michaela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B5.112-0278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Wolfgang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Herrndorf:Tschick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(Pflichtlektüre)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Hidlmayer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F2.612-0178/12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Weiterführunde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Schulen, Modul 6: Vielfalt macht Schule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Hidlmayer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06.02.2018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E6.503-2078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Medienberater/in und Medienscouts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Hidlmayer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E6.503-2078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Medienberater/in und Medienscouts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Hidlmayer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E6.503-2078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Medienberater/in und Medienscouts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Hidlmayer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15.11.2017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E6.503-2078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Medienberater/in und Medienscouts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Hidlmayer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04.11.2017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E6.503-2078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Medienberater/in und Medienscouts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Holzhey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Bärbel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B1.402-2778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Verwaltungsmodul 2: Konferenzen und Besprechungen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Holzhey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Bärbel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12.03.2018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B1.402-1378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Beauftragte für Kooperation, Organisation und Bildungswegeberatung 3: B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rufsorientierte Gemeinschaftsschule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Holzhey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Bärbel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13.11.2017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B1.402-2478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Verwaltungsmodul 3: Schulverwaltungssoftware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Holzhey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Bärbel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25.09.2017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B1.402-2378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Verwaltungsmodul 1: Die Datenbank "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DiPlanSchueklaDB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Holzhey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Bärbel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B1.402-0278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Basismodul 2: Schulentwicklung - Systemische Schulentwicklung an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berufl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. Schulen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Jungfleisch, Katrin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01.03.2018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E4.512-2378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Mobiles Lernen in der Schule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Kirchen Julia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19.04.2018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ILF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Nachqualifizierung im  Fach Kath. Religion für Lehrkräfte an Berufsschulen - Information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veranstaltung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Kirchen Julia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27.11.2017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B1.201-0578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Umsetung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des Leistungsbewertungserlasses: Große u. kleine Leistungsnachwe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se im Wir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t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schaftslehreunterricht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Koch, Pascal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B1.402-0278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Basismodul 2: Schulentwicklung - Systemische Schulentwicklung an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berufl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. Schulen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Lassen, Gudrun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Limberger, Ilka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B1.402-1878/2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Schulung der Qualitätsmanagement-Beauftragten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Limberger, Ilka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B1.402-1878/1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Schulung der Qualitätsmanagement-Beauftragten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Limberger, Ilka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27.09.2017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B5.122-0178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Bewertung FO schriftl. Schülerleistungen im Fach Französisch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Limberger, Ilka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19.09.2017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B1.201-1978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FOS plus ( Termin 3 )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Mailänder,Lisa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A5.152-1178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Flipped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Classroom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- im Mathematikunterricht - Lernen mit eigenen Videos u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n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terstützen  und begleiten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Mailänder,Lisa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Mantel, Helmut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24.04.2018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B3.232-1678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Kontenrahmen der Abschlussprüfung / SKR 51 für Automobilkaufleute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Mantel, Helmut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B3.232-1478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Vorstellung des neuen KMK-Rahmenlehrplans Automobilkaufmann/-frau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Math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B1.402-2778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Verwaltungsmodul 2: Konferenzen und Besprechungen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Math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B1.402-2278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Lern-Team-Berater/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inn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7: Lernfelddidaktik (Didaktik der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berufl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. Bildung 2)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Math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B1.402-2578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Lern-Team-Beraterinnen 4: Förderplanung und -diagnostik (Unterrichtsentwic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k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lung 2)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Math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B1.402-2678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Lern-Team-Beraterinnen 4: Individualisierung (Unterrichtsentwicklung 3)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Math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13.11.2017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B1.402-2478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Schulverwaltungssoftware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Math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23.10.2017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B1.201-0778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Umsetzung Leistungsbewertungserlasses: Französisch an beruflichen Sch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u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len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Math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25.09.2017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B1.402-2378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 Datenbank "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DiPlanSchueklaDB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Merten, Bianca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Peters-Klein, Sabine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Platte, 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Redler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Marcus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Schäfer, Christian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B1.402-0278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Basismodul 2: Schulentwicklung - Systemische Schulentwicklung an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berufl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. Schulen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Schäfer, Christian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19.09.2017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B1.402-0378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Basismodul 3: Schul-und Verwaltungsrecht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Schäfer, Christian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B1.402-0178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Basismodul 1: Schulentwicklung - QM an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berufl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. Schulen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Schäfer, 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Scheuer, Isabell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Simmer, Matthias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B1.203-0978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Arbeitskreis Schulwirtschaft Landkreis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Saarouis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Simmer, Matthias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Sprachsensibler Fachunterricht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Simmer, Matthias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17.10.2017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B1.203-0278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Arbeitskreis Schulwirtschaft Landkreis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Saarouis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22.05.2018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B1.402-3678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Basismodul 5: Konfliktmanagement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04.05.2018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D1.405-1078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Coaching IV zur </w:t>
            </w:r>
            <w:proofErr w:type="spellStart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Veranstalung</w:t>
            </w:r>
            <w:proofErr w:type="spellEnd"/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Selbstmanagement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02.05.2018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D1.405-0778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Wie gestalte ich meinen beruflichen Werdegang? -Informationen über Funkt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</w:t>
            </w: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onsstellen und Bewerbungsverfahren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12.04.2018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D1.405-1378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Selbstmanagement und Mitarbeiterführung II - Führerschein für Frauen im Schuldienst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11.04.2018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D1.405-1378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Selbstmanagement und Mitarbeiterführung II - Führerschein für Frauen im Schuldienst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21.03.2018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D1.405-1878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Vereinbarkeit Familie und Beruf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16.03.2018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D1.405-0978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Coaching zu Selbstmanagement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07.03.2018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D1.405-1878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Vereinbarkeit Familie und Beruf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24.02.2018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D1.405-1178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Selbstmanagement und Mitarbeiterführung I -Führungsseminar für Frauen im Schuldienst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23.02.2018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D1.405-1178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Selbstmanagement und Mitarbeiterführung I -Führungsseminar für Frauen im 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lastRenderedPageBreak/>
              <w:t>Schuldienst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15.12.2017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D1.405-1678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Selbstmanagement/Mitarbeiterführung -Workshop Führungsseminar Frauen im Schu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14.12.2017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T1.978-0378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Redaktionelle Vorgaben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Sprachsensibler Fachunte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15.11.2017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D1.405-0178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Bei Stimme sein,  bei Stimme bleiben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B1.201-1078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Umsetzung des Leistungsbewertungserlasses: Deutsch an beruflichen Sch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u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len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08.11.2017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D1.405-0378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Profil zeigen: Sich selbst präsentieren - Führungsseminar für Frauen im Schu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D1.405-0478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Schule in Funktionsstellen(mit-)gestalten Infoveranstaltung für Lehr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e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rinnen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21.09.2017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T1.978-0478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Programmeingabe, Richtlinien und Vorgehensweisen, </w:t>
            </w:r>
            <w:proofErr w:type="spellStart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LPMFlyer</w:t>
            </w:r>
            <w:proofErr w:type="spellEnd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+ LPM Infos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19.09.2017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B1.201-1978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FOS plus ( Termin 3 )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B5.112-0278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Wolfgang </w:t>
            </w:r>
            <w:proofErr w:type="spellStart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Herrndorf:Tschick</w:t>
            </w:r>
            <w:proofErr w:type="spellEnd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(Pflichtlektüre)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08.09.2017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D1.405-1678</w:t>
            </w:r>
          </w:p>
        </w:tc>
        <w:tc>
          <w:tcPr>
            <w:tcW w:w="6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Selbstmanagement/Mitarbeiterführung -Workshop Führungsseminar Frauen im Schu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dienst</w:t>
            </w: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B5.112-0278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Friedrich </w:t>
            </w:r>
            <w:proofErr w:type="spellStart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Dürrenmatt:Romulus</w:t>
            </w:r>
            <w:proofErr w:type="spellEnd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der Große (Pflichtlektüre FOS)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Wicke, Jutta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Sprachsensibler Fachunte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Zima</w:t>
            </w:r>
            <w:proofErr w:type="spellEnd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, Kirsten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F2.612-1878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Sprachsensibler Fachunte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richt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Zima</w:t>
            </w:r>
            <w:proofErr w:type="spellEnd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, Kirsten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19.09.2017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B1.201-1978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FOS plus ( Termin 3 )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proofErr w:type="spellStart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Zima</w:t>
            </w:r>
            <w:proofErr w:type="spellEnd"/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, Kirsten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B5.152-0178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Neuer Lehrplan Mathematik Fachoberschule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2A3BA0" w:rsidRPr="002A3BA0" w:rsidTr="002A3B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Zimmer, Christoph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B5 152-0278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Dialo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g</w:t>
            </w:r>
            <w:r w:rsidRPr="002A3BA0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tag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2A3BA0" w:rsidRPr="002A3BA0" w:rsidRDefault="002A3BA0" w:rsidP="002A3BA0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BC1357" w:rsidRPr="002A3BA0" w:rsidRDefault="00BC1357" w:rsidP="001A72E7">
      <w:pPr>
        <w:rPr>
          <w:rFonts w:ascii="Arial" w:hAnsi="Arial" w:cs="Arial"/>
          <w:color w:val="000000"/>
          <w:sz w:val="20"/>
          <w:szCs w:val="20"/>
        </w:rPr>
      </w:pPr>
    </w:p>
    <w:p w:rsidR="002A3BA0" w:rsidRDefault="002A3BA0" w:rsidP="001A72E7">
      <w:pPr>
        <w:rPr>
          <w:rFonts w:ascii="Arial" w:hAnsi="Arial" w:cs="Arial"/>
          <w:color w:val="000000"/>
          <w:sz w:val="20"/>
          <w:szCs w:val="20"/>
        </w:rPr>
      </w:pPr>
    </w:p>
    <w:p w:rsidR="00BC5CCA" w:rsidRDefault="00BC5CC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1236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1"/>
        <w:gridCol w:w="2551"/>
        <w:gridCol w:w="2126"/>
        <w:gridCol w:w="4395"/>
      </w:tblGrid>
      <w:tr w:rsidR="00BC5CCA" w:rsidRPr="0019396C" w:rsidTr="00BC5CCA">
        <w:tblPrEx>
          <w:tblCellMar>
            <w:top w:w="0" w:type="dxa"/>
            <w:bottom w:w="0" w:type="dxa"/>
          </w:tblCellMar>
        </w:tblPrEx>
        <w:trPr>
          <w:trHeight w:val="298"/>
          <w:tblHeader/>
        </w:trPr>
        <w:tc>
          <w:tcPr>
            <w:tcW w:w="12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BC5CCA" w:rsidRPr="0019396C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</w:rPr>
              <w:lastRenderedPageBreak/>
              <w:t>Teilnehmer/innen an Fortbildungsveranstaltungen SJ 2017/18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Teilne</w:t>
            </w: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h</w:t>
            </w: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mer/innen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LPM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ä</w:t>
            </w: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dagogischer Tag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gesamt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9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"LBE"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91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Birke</w:t>
            </w: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n</w:t>
            </w: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bach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Bohne</w:t>
            </w: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n</w:t>
            </w: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berger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Conrad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Detzler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Dierking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Diete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6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Dittgen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Donie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Eisenbart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Frech-</w:t>
            </w: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Weisgerber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8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Fontaine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Gonsior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Grewelinger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Haas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Häuser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Heinz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Herberz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Hidlmayer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6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Hirtz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8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Hoffmann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lastRenderedPageBreak/>
              <w:t>Holzhey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6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Jun</w:t>
            </w: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g</w:t>
            </w: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fleisch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Kirchen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Klein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Koch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8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Kratz-</w:t>
            </w: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Kosmalla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Kuhn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8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Lamy-Albert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Lassen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Limberger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Mailänder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Mantel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Math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Merten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Peters-Klein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Platte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Rauber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Redler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Schäfer Chr.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Schäfer J.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Scheuer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Simmer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Steil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lastRenderedPageBreak/>
              <w:t>Stephan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23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Webers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Wein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8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Weiskopf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Wicke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Zima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Zimmer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8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Zirnstein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C5CCA" w:rsidRPr="00BC5CCA" w:rsidTr="00BC5CC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CCA" w:rsidRPr="00BC5CCA" w:rsidRDefault="00BC5CC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</w:pPr>
            <w:r w:rsidRPr="00BC5CCA">
              <w:rPr>
                <w:rFonts w:asciiTheme="minorHAnsi" w:eastAsia="Calibri" w:hAnsiTheme="minorHAnsi" w:cs="Calibri"/>
                <w:b/>
                <w:bCs/>
                <w:color w:val="FF0000"/>
                <w:sz w:val="18"/>
                <w:szCs w:val="18"/>
              </w:rPr>
              <w:t>151</w:t>
            </w:r>
          </w:p>
        </w:tc>
      </w:tr>
    </w:tbl>
    <w:p w:rsidR="00274FC7" w:rsidRDefault="00274FC7" w:rsidP="00444E15">
      <w:pPr>
        <w:ind w:left="-851"/>
        <w:rPr>
          <w:rFonts w:ascii="Calibri" w:hAnsi="Calibri"/>
          <w:color w:val="000000"/>
          <w:sz w:val="20"/>
          <w:szCs w:val="20"/>
        </w:rPr>
      </w:pPr>
    </w:p>
    <w:tbl>
      <w:tblPr>
        <w:tblW w:w="1257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193"/>
        <w:gridCol w:w="1311"/>
        <w:gridCol w:w="5351"/>
        <w:gridCol w:w="1701"/>
        <w:gridCol w:w="1559"/>
      </w:tblGrid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2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</w:rPr>
              <w:t>Weitergabe von Unterlagen an Fachkonf</w:t>
            </w: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</w:rPr>
              <w:t>e</w:t>
            </w: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</w:rPr>
              <w:t>renz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Teilnehmer/in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53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Thema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Unterl</w:t>
            </w: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gen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Friedrich </w:t>
            </w: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Dürrenmatt:Romulus</w:t>
            </w:r>
            <w:proofErr w:type="spellEnd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der Große (Pflichtlektüre FOS)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Fachoberschule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Skript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Diete</w:t>
            </w:r>
            <w:proofErr w:type="spellEnd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Tag des Berufsschulsports 2017 "Spielen"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Berufsschule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in Date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form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Diete</w:t>
            </w:r>
            <w:proofErr w:type="spellEnd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Leistungsbewertung im Sportunterricht an Berufsschulen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Berufsschule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in Date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form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Limberger, Ilka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27.09.2017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Bewertung FO schriftl. Schülerleistungen im Fach Französisch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Fachoberschule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Übungen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09.11.2017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Umsetzung des Leistungsbewertungserlasses: Deutsch an b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ruflichen Schulen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Schulorganisat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on/-</w:t>
            </w: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entwicklung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in Date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form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Stephan, Nicole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Wolfgang </w:t>
            </w: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Herrndorf:Tschick</w:t>
            </w:r>
            <w:proofErr w:type="spellEnd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(Pflichtlektüre)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Handelsschule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in Date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i</w:t>
            </w: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form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Zimmer, Christoph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Dialogtag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Fachoberschule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keine</w:t>
            </w:r>
          </w:p>
        </w:tc>
      </w:tr>
    </w:tbl>
    <w:p w:rsidR="00F10477" w:rsidRPr="0019396C" w:rsidRDefault="00F10477" w:rsidP="00444E15">
      <w:pPr>
        <w:ind w:left="-851"/>
        <w:rPr>
          <w:rFonts w:ascii="Calibri" w:hAnsi="Calibri"/>
          <w:color w:val="000000"/>
          <w:sz w:val="16"/>
          <w:szCs w:val="16"/>
        </w:rPr>
      </w:pPr>
    </w:p>
    <w:p w:rsidR="0019396C" w:rsidRDefault="0019396C" w:rsidP="005A65E4"/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2095"/>
        <w:gridCol w:w="1417"/>
        <w:gridCol w:w="675"/>
        <w:gridCol w:w="1370"/>
        <w:gridCol w:w="6043"/>
      </w:tblGrid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</w:rPr>
              <w:lastRenderedPageBreak/>
              <w:t>Nicht empfehlenswerte Fortbi</w:t>
            </w: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</w:rPr>
              <w:t>l</w:t>
            </w: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</w:rPr>
              <w:t>dungsveranstaltungen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0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Teilnehmer/in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Ort</w:t>
            </w: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Nummer</w:t>
            </w:r>
          </w:p>
        </w:tc>
        <w:tc>
          <w:tcPr>
            <w:tcW w:w="6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szCs w:val="20"/>
              </w:rPr>
              <w:t>Thema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Bohnenberger, Lauren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B5.112-0278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Wolfgang </w:t>
            </w: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Herrndorf:Tschick</w:t>
            </w:r>
            <w:proofErr w:type="spellEnd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 xml:space="preserve"> (Pflichtlektüre Handelsschule)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Diete</w:t>
            </w:r>
            <w:proofErr w:type="spellEnd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Lisa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H1.326-7778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Lehrergesundheit - Information über die Angebote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Gonsior</w:t>
            </w:r>
            <w:proofErr w:type="spellEnd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Claudia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B5.152-0178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Neuer Lehrplan Mathematik Fachoberschule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Math</w:t>
            </w:r>
            <w:proofErr w:type="spellEnd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13.11.2017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B1.402-2478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Schulverwaltungssoftware</w:t>
            </w:r>
          </w:p>
        </w:tc>
      </w:tr>
      <w:tr w:rsidR="0019396C" w:rsidRPr="0019396C" w:rsidTr="001939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Zima</w:t>
            </w:r>
            <w:proofErr w:type="spellEnd"/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, Kirsten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LPM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B5.152-0178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19396C" w:rsidRPr="0019396C" w:rsidRDefault="0019396C" w:rsidP="0019396C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19396C"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  <w:t>Neuer Lehrplan Mathematik Fachoberschule</w:t>
            </w:r>
          </w:p>
        </w:tc>
      </w:tr>
    </w:tbl>
    <w:p w:rsidR="00895A89" w:rsidRPr="00895A89" w:rsidRDefault="00895A89" w:rsidP="005A65E4"/>
    <w:sectPr w:rsidR="00895A89" w:rsidRPr="00895A89" w:rsidSect="00274FC7">
      <w:pgSz w:w="16838" w:h="11906" w:orient="landscape"/>
      <w:pgMar w:top="567" w:right="1134" w:bottom="1418" w:left="235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CA" w:rsidRDefault="00BC5CCA" w:rsidP="006076F3">
      <w:r>
        <w:separator/>
      </w:r>
    </w:p>
  </w:endnote>
  <w:endnote w:type="continuationSeparator" w:id="0">
    <w:p w:rsidR="00BC5CCA" w:rsidRDefault="00BC5CCA" w:rsidP="0060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A" w:rsidRDefault="00BC5CCA">
    <w:pPr>
      <w:pStyle w:val="Fuzeile"/>
    </w:pPr>
  </w:p>
  <w:p w:rsidR="00BC5CCA" w:rsidRDefault="00BC5CCA">
    <w:pPr>
      <w:pStyle w:val="Fuzeile"/>
    </w:pPr>
  </w:p>
  <w:p w:rsidR="00BC5CCA" w:rsidRPr="00730C3D" w:rsidRDefault="00BC5CC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CA" w:rsidRDefault="00BC5CCA" w:rsidP="006076F3">
      <w:r>
        <w:separator/>
      </w:r>
    </w:p>
  </w:footnote>
  <w:footnote w:type="continuationSeparator" w:id="0">
    <w:p w:rsidR="00BC5CCA" w:rsidRDefault="00BC5CCA" w:rsidP="0060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CA" w:rsidRDefault="00BC5CCA" w:rsidP="00274FC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-32385</wp:posOffset>
          </wp:positionH>
          <wp:positionV relativeFrom="margin">
            <wp:posOffset>-1640205</wp:posOffset>
          </wp:positionV>
          <wp:extent cx="6210935" cy="952500"/>
          <wp:effectExtent l="0" t="0" r="0" b="0"/>
          <wp:wrapSquare wrapText="bothSides"/>
          <wp:docPr id="1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47.4pt;margin-top:-43.3pt;width:217.15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Zo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MJrH8ySIMarAFpL5dXLt2Pk0O14flDbvmeyR&#10;XeRYQesdPN3da2Pp0OzoYqMJWfKuc+3vxLMDcJxOIDhctTZLw3XzZxqkq2SVEI9Es5VHgqLwbssl&#10;8WZlOI+L6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" filled="f" stroked="f">
          <v:textbox>
            <w:txbxContent>
              <w:p w:rsidR="00BC5CCA" w:rsidRPr="00E3229C" w:rsidRDefault="00BC5CCA">
                <w:pPr>
                  <w:rPr>
                    <w:rFonts w:ascii="Calibri" w:hAnsi="Calibri"/>
                    <w:b/>
                    <w:color w:val="8DB3E2"/>
                    <w:sz w:val="220"/>
                    <w:szCs w:val="220"/>
                  </w:rPr>
                </w:pPr>
                <w:r w:rsidRPr="00E3229C">
                  <w:rPr>
                    <w:rFonts w:ascii="Calibri" w:hAnsi="Calibri"/>
                    <w:b/>
                    <w:color w:val="8DB3E2"/>
                    <w:sz w:val="220"/>
                    <w:szCs w:val="220"/>
                  </w:rPr>
                  <w:t>QBS</w:t>
                </w:r>
              </w:p>
            </w:txbxContent>
          </v:textbox>
        </v:shape>
      </w:pict>
    </w:r>
    <w:r>
      <w:t xml:space="preserve"> </w:t>
    </w:r>
  </w:p>
  <w:p w:rsidR="00BC5CCA" w:rsidRDefault="00BC5CCA" w:rsidP="006076F3">
    <w:pPr>
      <w:pStyle w:val="Kopfzeile"/>
      <w:ind w:left="-709"/>
      <w:jc w:val="right"/>
    </w:pPr>
  </w:p>
  <w:p w:rsidR="00BC5CCA" w:rsidRDefault="00BC5CCA" w:rsidP="006076F3">
    <w:pPr>
      <w:pStyle w:val="Kopfzeile"/>
      <w:ind w:left="-709"/>
      <w:jc w:val="right"/>
    </w:pPr>
  </w:p>
  <w:p w:rsidR="00BC5CCA" w:rsidRDefault="00BC5CCA" w:rsidP="006076F3">
    <w:pPr>
      <w:pStyle w:val="Kopfzeile"/>
      <w:ind w:left="-709"/>
      <w:jc w:val="right"/>
    </w:pPr>
  </w:p>
  <w:p w:rsidR="00BC5CCA" w:rsidRDefault="00BC5CCA" w:rsidP="006076F3">
    <w:pPr>
      <w:pStyle w:val="Kopfzeile"/>
      <w:ind w:left="-709"/>
      <w:jc w:val="right"/>
    </w:pPr>
  </w:p>
  <w:p w:rsidR="00BC5CCA" w:rsidRDefault="00BC5CCA" w:rsidP="006076F3">
    <w:pPr>
      <w:pStyle w:val="Kopfzeile"/>
      <w:ind w:left="-709"/>
      <w:jc w:val="right"/>
    </w:pPr>
  </w:p>
  <w:p w:rsidR="00BC5CCA" w:rsidRDefault="00BC5CCA" w:rsidP="006076F3">
    <w:pPr>
      <w:pStyle w:val="Kopfzeile"/>
      <w:ind w:left="-709"/>
      <w:jc w:val="right"/>
    </w:pPr>
  </w:p>
  <w:p w:rsidR="00BC5CCA" w:rsidRPr="00CB303A" w:rsidRDefault="00BC5CCA" w:rsidP="00E3229C">
    <w:pPr>
      <w:rPr>
        <w:rFonts w:ascii="Tahoma" w:hAnsi="Tahoma" w:cs="Tahoma"/>
        <w:color w:val="17365D"/>
      </w:rPr>
    </w:pPr>
    <w:r w:rsidRPr="00CB303A">
      <w:rPr>
        <w:rFonts w:ascii="Tahoma" w:hAnsi="Tahoma" w:cs="Tahoma"/>
        <w:color w:val="17365D"/>
      </w:rPr>
      <w:t>KBBZ Saarlouis - Fortbildungen Schuljahr 20</w:t>
    </w:r>
    <w:r>
      <w:rPr>
        <w:rFonts w:ascii="Tahoma" w:hAnsi="Tahoma" w:cs="Tahoma"/>
        <w:color w:val="17365D"/>
      </w:rPr>
      <w:t>17</w:t>
    </w:r>
    <w:r w:rsidRPr="00CB303A">
      <w:rPr>
        <w:rFonts w:ascii="Tahoma" w:hAnsi="Tahoma" w:cs="Tahoma"/>
        <w:color w:val="17365D"/>
      </w:rPr>
      <w:t>/201</w:t>
    </w:r>
    <w:r>
      <w:rPr>
        <w:rFonts w:ascii="Tahoma" w:hAnsi="Tahoma" w:cs="Tahoma"/>
        <w:color w:val="17365D"/>
      </w:rPr>
      <w:t>8</w:t>
    </w:r>
  </w:p>
  <w:p w:rsidR="00BC5CCA" w:rsidRDefault="00BC5CCA" w:rsidP="00BC1357">
    <w:pPr>
      <w:pStyle w:val="Kopfzeile"/>
      <w:ind w:left="-709"/>
    </w:pPr>
  </w:p>
  <w:p w:rsidR="00BC5CCA" w:rsidRDefault="00BC5CCA" w:rsidP="00BC1357">
    <w:pPr>
      <w:pStyle w:val="Kopfzeile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C41"/>
    <w:multiLevelType w:val="hybridMultilevel"/>
    <w:tmpl w:val="A8AA09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B9656A"/>
    <w:multiLevelType w:val="hybridMultilevel"/>
    <w:tmpl w:val="14C66D8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138D"/>
    <w:multiLevelType w:val="hybridMultilevel"/>
    <w:tmpl w:val="0BDA0116"/>
    <w:lvl w:ilvl="0" w:tplc="2CF4143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46F8"/>
    <w:rsid w:val="00016F2C"/>
    <w:rsid w:val="00081151"/>
    <w:rsid w:val="000C61F1"/>
    <w:rsid w:val="000C7568"/>
    <w:rsid w:val="000D62E2"/>
    <w:rsid w:val="000E02D4"/>
    <w:rsid w:val="000F7F5F"/>
    <w:rsid w:val="0019396C"/>
    <w:rsid w:val="001A72E7"/>
    <w:rsid w:val="001F1A25"/>
    <w:rsid w:val="001F1A29"/>
    <w:rsid w:val="00221298"/>
    <w:rsid w:val="002337F2"/>
    <w:rsid w:val="00256CFE"/>
    <w:rsid w:val="00274FC7"/>
    <w:rsid w:val="002844AD"/>
    <w:rsid w:val="002A0C47"/>
    <w:rsid w:val="002A3BA0"/>
    <w:rsid w:val="002B053E"/>
    <w:rsid w:val="002C38BD"/>
    <w:rsid w:val="002C6BCF"/>
    <w:rsid w:val="00317192"/>
    <w:rsid w:val="0031752E"/>
    <w:rsid w:val="0034349C"/>
    <w:rsid w:val="003539DD"/>
    <w:rsid w:val="003A76BD"/>
    <w:rsid w:val="003D46E4"/>
    <w:rsid w:val="003D4CC0"/>
    <w:rsid w:val="00444E15"/>
    <w:rsid w:val="004A6F12"/>
    <w:rsid w:val="004B1E25"/>
    <w:rsid w:val="004C219B"/>
    <w:rsid w:val="004F1C8B"/>
    <w:rsid w:val="00513761"/>
    <w:rsid w:val="00533878"/>
    <w:rsid w:val="00547FA5"/>
    <w:rsid w:val="005536A8"/>
    <w:rsid w:val="005A65E4"/>
    <w:rsid w:val="005D2234"/>
    <w:rsid w:val="006076F3"/>
    <w:rsid w:val="0061178B"/>
    <w:rsid w:val="00624EAA"/>
    <w:rsid w:val="006634FE"/>
    <w:rsid w:val="006866A5"/>
    <w:rsid w:val="006D3078"/>
    <w:rsid w:val="007115B6"/>
    <w:rsid w:val="0071626E"/>
    <w:rsid w:val="00721449"/>
    <w:rsid w:val="00730C3D"/>
    <w:rsid w:val="00731663"/>
    <w:rsid w:val="0075301F"/>
    <w:rsid w:val="0077224B"/>
    <w:rsid w:val="00794A7F"/>
    <w:rsid w:val="007A7CC1"/>
    <w:rsid w:val="007C7B81"/>
    <w:rsid w:val="007F1D80"/>
    <w:rsid w:val="00802DE3"/>
    <w:rsid w:val="00804340"/>
    <w:rsid w:val="0089027B"/>
    <w:rsid w:val="00895A89"/>
    <w:rsid w:val="008D432F"/>
    <w:rsid w:val="008D532C"/>
    <w:rsid w:val="00904130"/>
    <w:rsid w:val="00935DCE"/>
    <w:rsid w:val="00960F10"/>
    <w:rsid w:val="00961DE2"/>
    <w:rsid w:val="00962480"/>
    <w:rsid w:val="00997A53"/>
    <w:rsid w:val="009E036F"/>
    <w:rsid w:val="00A65A66"/>
    <w:rsid w:val="00A8636B"/>
    <w:rsid w:val="00AA46F8"/>
    <w:rsid w:val="00AA6B07"/>
    <w:rsid w:val="00AC25D8"/>
    <w:rsid w:val="00B40590"/>
    <w:rsid w:val="00B52AA4"/>
    <w:rsid w:val="00B83A53"/>
    <w:rsid w:val="00B94258"/>
    <w:rsid w:val="00B96071"/>
    <w:rsid w:val="00BB2EE0"/>
    <w:rsid w:val="00BC1357"/>
    <w:rsid w:val="00BC5CCA"/>
    <w:rsid w:val="00C277A0"/>
    <w:rsid w:val="00C41BF9"/>
    <w:rsid w:val="00C653D7"/>
    <w:rsid w:val="00C80C07"/>
    <w:rsid w:val="00CA3D05"/>
    <w:rsid w:val="00CB303A"/>
    <w:rsid w:val="00CD283B"/>
    <w:rsid w:val="00CF2B0C"/>
    <w:rsid w:val="00D062D1"/>
    <w:rsid w:val="00D30E91"/>
    <w:rsid w:val="00D71A58"/>
    <w:rsid w:val="00D768C4"/>
    <w:rsid w:val="00D83CDE"/>
    <w:rsid w:val="00DC4CDC"/>
    <w:rsid w:val="00E00732"/>
    <w:rsid w:val="00E17161"/>
    <w:rsid w:val="00E3229C"/>
    <w:rsid w:val="00E329C0"/>
    <w:rsid w:val="00E32BCD"/>
    <w:rsid w:val="00E42F6A"/>
    <w:rsid w:val="00E85C79"/>
    <w:rsid w:val="00EB050E"/>
    <w:rsid w:val="00EB10D1"/>
    <w:rsid w:val="00EB1120"/>
    <w:rsid w:val="00EB4A5A"/>
    <w:rsid w:val="00F10477"/>
    <w:rsid w:val="00F15182"/>
    <w:rsid w:val="00F76D4A"/>
    <w:rsid w:val="00F947E0"/>
    <w:rsid w:val="00FD2D47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6F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6F3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6F3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A53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997A53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902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27B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89027B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27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9027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6F8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6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6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6076F3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A5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97A53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902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27B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89027B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27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902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A6EC-F234-4D65-B543-248A6769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2180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abtlhs</dc:creator>
  <cp:lastModifiedBy>Admin</cp:lastModifiedBy>
  <cp:revision>6</cp:revision>
  <cp:lastPrinted>2018-06-25T12:10:00Z</cp:lastPrinted>
  <dcterms:created xsi:type="dcterms:W3CDTF">2018-06-25T06:43:00Z</dcterms:created>
  <dcterms:modified xsi:type="dcterms:W3CDTF">2018-12-04T16:18:00Z</dcterms:modified>
</cp:coreProperties>
</file>